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US$10,000 紙上交易學習計劃</w:t>
      </w:r>
    </w:p>
    <w:p>
      <w:r>
        <w:rPr>
          <w:rFonts w:ascii="Calibri" w:hAnsi="Calibri" w:cs="Calibri" w:eastAsia="Noto Sans CJK TC"/>
          <w:color w:val="C56A00"/>
          <w:sz w:val="24"/>
          <w:lang w:eastAsia="zh-HK"/>
        </w:rPr>
        <w:t>加密 50%（BTC／ETH 現貨）＋美股 ETF 50%　｜　12 週練習＋交易日誌</w:t>
      </w:r>
    </w:p>
    <w:p>
      <w:pPr>
        <w:spacing w:after="160"/>
      </w:pPr>
      <w:r>
        <w:rPr>
          <w:rFonts w:ascii="Calibri" w:hAnsi="Calibri" w:cs="Calibri" w:eastAsia="Noto Sans CJK TC"/>
          <w:color w:val="595959"/>
          <w:sz w:val="18"/>
          <w:lang w:eastAsia="zh-HK"/>
        </w:rPr>
        <w:t>配套檔案：Paper_Trading_Plan_10K.xlsx（倉位計算機、交易日誌、每週檢討、12 週計劃、複利現實）</w:t>
      </w:r>
    </w:p>
    <w:tbl>
      <w:tblPr>
        <w:tblW w:type="dxa" w:w="941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412"/>
      </w:tblGrid>
      <w:tr>
        <w:trPr>
          <w:cantSplit/>
        </w:trPr>
        <w:tc>
          <w:tcPr>
            <w:tcW w:type="dxa" w:w="9411"/>
            <w:shd w:val="clear" w:color="auto" w:fill="FFF4E5"/>
            <w:tcBorders>
              <w:top w:val="single" w:sz="12" w:color="F7931A"/>
              <w:left w:val="single" w:sz="12" w:color="F7931A"/>
              <w:bottom w:val="single" w:sz="12" w:color="F7931A"/>
              <w:right w:val="single" w:sz="12" w:color="F7931A"/>
            </w:tcBorders>
          </w:tcPr>
          <w:p>
            <w:pPr>
              <w:spacing w:after="40"/>
            </w:pPr>
            <w:r/>
            <w:r>
              <w:rPr>
                <w:rFonts w:ascii="Calibri" w:hAnsi="Calibri" w:cs="Calibri" w:eastAsia="Noto Sans CJK TC"/>
                <w:b/>
                <w:color w:val="1F3864"/>
                <w:sz w:val="21"/>
                <w:lang w:eastAsia="zh-HK"/>
              </w:rPr>
              <w:t>先講清楚</w:t>
            </w:r>
          </w:p>
          <w:p>
            <w:pPr>
              <w:spacing w:after="20"/>
            </w:pPr>
            <w:r>
              <w:rPr>
                <w:rFonts w:ascii="Calibri" w:hAnsi="Calibri" w:cs="Calibri" w:eastAsia="Noto Sans CJK TC"/>
                <w:sz w:val="20"/>
                <w:lang w:eastAsia="zh-HK"/>
              </w:rPr>
              <w:t>本計劃</w:t>
            </w:r>
            <w:r>
              <w:rPr>
                <w:rFonts w:ascii="Calibri" w:hAnsi="Calibri" w:cs="Calibri" w:eastAsia="Noto Sans CJK TC"/>
                <w:b/>
                <w:sz w:val="20"/>
                <w:lang w:eastAsia="zh-HK"/>
              </w:rPr>
              <w:t>只供教育用途，唔係投資建議，亦唔保證任何回報</w:t>
            </w:r>
            <w:r>
              <w:rPr>
                <w:rFonts w:ascii="Calibri" w:hAnsi="Calibri" w:cs="Calibri" w:eastAsia="Noto Sans CJK TC"/>
                <w:sz w:val="20"/>
                <w:lang w:eastAsia="zh-HK"/>
              </w:rPr>
              <w:t>。全部練習用虛擬資金（紙上交易），唔會真實落盤。</w:t>
            </w:r>
          </w:p>
          <w:p>
            <w:pPr>
              <w:spacing w:after="20"/>
            </w:pPr>
            <w:r>
              <w:rPr>
                <w:rFonts w:ascii="Calibri" w:hAnsi="Calibri" w:cs="Calibri" w:eastAsia="Noto Sans CJK TC"/>
                <w:sz w:val="20"/>
                <w:lang w:eastAsia="zh-HK"/>
              </w:rPr>
              <w:t>目標唔係「快啲變 10 倍」，而係用 12 週建立一套可以重複執行嘅紀律：倉位、止蝕、記錄、檢討。</w:t>
            </w:r>
          </w:p>
        </w:tc>
      </w:tr>
    </w:tbl>
    <w:p>
      <w:pPr>
        <w:spacing w:after="0"/>
      </w:pPr>
    </w:p>
    <w:p>
      <w:pPr>
        <w:pStyle w:val="Heading1"/>
      </w:pPr>
      <w:r>
        <w:t>一、點解冇「安全」嘅 10 倍方法</w:t>
      </w:r>
    </w:p>
    <w:p>
      <w:r>
        <w:rPr>
          <w:rFonts w:ascii="Calibri" w:hAnsi="Calibri" w:cs="Calibri" w:eastAsia="Noto Sans CJK TC"/>
          <w:lang w:eastAsia="zh-HK"/>
        </w:rPr>
        <w:t>$10,000 變 $100,000 即係 +900%。回報同風險係一齊嚟：想短時間做到 10 倍，通常要集中押注、用槓桿或者買極高波動嘅資產，而呢啲做法同時都可能令本金大幅蝕損，甚至歸零。</w:t>
      </w:r>
    </w:p>
    <w:p>
      <w:r>
        <w:rPr>
          <w:rFonts w:ascii="Calibri" w:hAnsi="Calibri" w:cs="Calibri" w:eastAsia="Noto Sans CJK TC"/>
          <w:lang w:eastAsia="zh-HK"/>
        </w:rPr>
        <w:t>用數學睇，10 倍需要嘅每年複利回報大約係：</w:t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701"/>
        <w:gridCol w:w="2835"/>
        <w:gridCol w:w="4876"/>
      </w:tblGrid>
      <w:tr>
        <w:trPr>
          <w:tblHeader/>
          <w:cantSplit/>
        </w:trPr>
        <w:tc>
          <w:tcPr>
            <w:tcW w:type="dxa" w:w="1701"/>
            <w:shd w:val="clear" w:color="auto" w:fill="1F3864"/>
          </w:tcPr>
          <w:p>
            <w:pPr>
              <w:keepNext/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b/>
                <w:color w:val="FFFFFF"/>
                <w:sz w:val="20"/>
                <w:lang w:eastAsia="zh-HK"/>
              </w:rPr>
              <w:t>年期</w:t>
            </w:r>
          </w:p>
        </w:tc>
        <w:tc>
          <w:tcPr>
            <w:tcW w:type="dxa" w:w="2835"/>
            <w:shd w:val="clear" w:color="auto" w:fill="1F3864"/>
          </w:tcPr>
          <w:p>
            <w:pPr>
              <w:keepNext/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b/>
                <w:color w:val="FFFFFF"/>
                <w:sz w:val="20"/>
                <w:lang w:eastAsia="zh-HK"/>
              </w:rPr>
              <w:t>每年需要回報（複利）</w:t>
            </w:r>
          </w:p>
        </w:tc>
        <w:tc>
          <w:tcPr>
            <w:tcW w:type="dxa" w:w="4876"/>
            <w:shd w:val="clear" w:color="auto" w:fill="1F3864"/>
          </w:tcPr>
          <w:p>
            <w:pPr>
              <w:keepNext/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b/>
                <w:color w:val="FFFFFF"/>
                <w:sz w:val="20"/>
                <w:lang w:eastAsia="zh-HK"/>
              </w:rPr>
              <w:t>現實程度</w:t>
            </w:r>
          </w:p>
        </w:tc>
      </w:tr>
      <w:tr>
        <w:tc>
          <w:tcPr>
            <w:tcW w:type="dxa" w:w="1701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10 年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約 25.9%</w:t>
            </w:r>
          </w:p>
        </w:tc>
        <w:tc>
          <w:tcPr>
            <w:tcW w:type="dxa" w:w="4876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長期極難持續，少數人做到但唔可以當預期</w:t>
            </w:r>
          </w:p>
        </w:tc>
      </w:tr>
      <w:tr>
        <w:tc>
          <w:tcPr>
            <w:tcW w:type="dxa" w:w="1701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20 年</w:t>
            </w:r>
          </w:p>
        </w:tc>
        <w:tc>
          <w:tcPr>
            <w:tcW w:type="dxa" w:w="2835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約 12.2%</w:t>
            </w:r>
          </w:p>
        </w:tc>
        <w:tc>
          <w:tcPr>
            <w:tcW w:type="dxa" w:w="4876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高過美股長期平均，仍然好進取</w:t>
            </w:r>
          </w:p>
        </w:tc>
      </w:tr>
      <w:tr>
        <w:tc>
          <w:tcPr>
            <w:tcW w:type="dxa" w:w="1701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25 年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約 9.6%</w:t>
            </w:r>
          </w:p>
        </w:tc>
        <w:tc>
          <w:tcPr>
            <w:tcW w:type="dxa" w:w="4876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接近美股大盤歷史平均（不保證將來）</w:t>
            </w:r>
          </w:p>
        </w:tc>
      </w:tr>
    </w:tbl>
    <w:p>
      <w:pPr>
        <w:spacing w:after="0"/>
      </w:pPr>
    </w:p>
    <w:p>
      <w:r>
        <w:rPr>
          <w:rFonts w:ascii="Calibri" w:hAnsi="Calibri" w:cs="Calibri" w:eastAsia="Noto Sans CJK TC"/>
          <w:lang w:eastAsia="zh-HK"/>
        </w:rPr>
        <w:t>歷史參考（</w:t>
      </w:r>
      <w:r>
        <w:rPr>
          <w:rFonts w:ascii="Calibri" w:hAnsi="Calibri" w:cs="Calibri" w:eastAsia="Noto Sans CJK TC"/>
          <w:b/>
          <w:lang w:eastAsia="zh-HK"/>
        </w:rPr>
        <w:t>歷史數據，不代表將來</w:t>
      </w:r>
      <w:r>
        <w:rPr>
          <w:rFonts w:ascii="Calibri" w:hAnsi="Calibri" w:cs="Calibri" w:eastAsia="Noto Sans CJK TC"/>
          <w:lang w:eastAsia="zh-HK"/>
        </w:rPr>
        <w:t>）：S&amp;P 500 由 1926 至 2024 年含股息平均年回報約 10.5%；但最差嘅 1 年滾動回報約 -43.8%，2008 年單年 -36.55%，2000 年代十年平均約每年 -0.9%。好消息係，歷史上所有 15 年滾動期都係正回報——即係「時間」先係最大嘅朋友，前提係你捱得過中間嘅大跌。</w:t>
      </w:r>
    </w:p>
    <w:p>
      <w:pPr>
        <w:pStyle w:val="Heading2"/>
      </w:pPr>
      <w:r>
        <w:t>真實個案：搏快嘅代價</w:t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27"/>
        <w:gridCol w:w="4649"/>
        <w:gridCol w:w="2835"/>
      </w:tblGrid>
      <w:tr>
        <w:trPr>
          <w:tblHeader/>
          <w:cantSplit/>
        </w:trPr>
        <w:tc>
          <w:tcPr>
            <w:tcW w:type="dxa" w:w="1928"/>
            <w:shd w:val="clear" w:color="auto" w:fill="1F3864"/>
          </w:tcPr>
          <w:p>
            <w:pPr>
              <w:keepNext/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b/>
                <w:color w:val="FFFFFF"/>
                <w:sz w:val="20"/>
                <w:lang w:eastAsia="zh-HK"/>
              </w:rPr>
              <w:t>個案</w:t>
            </w:r>
          </w:p>
        </w:tc>
        <w:tc>
          <w:tcPr>
            <w:tcW w:type="dxa" w:w="4649"/>
            <w:shd w:val="clear" w:color="auto" w:fill="1F3864"/>
          </w:tcPr>
          <w:p>
            <w:pPr>
              <w:keepNext/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b/>
                <w:color w:val="FFFFFF"/>
                <w:sz w:val="20"/>
                <w:lang w:eastAsia="zh-HK"/>
              </w:rPr>
              <w:t>發生咩事</w:t>
            </w:r>
          </w:p>
        </w:tc>
        <w:tc>
          <w:tcPr>
            <w:tcW w:type="dxa" w:w="2835"/>
            <w:shd w:val="clear" w:color="auto" w:fill="1F3864"/>
          </w:tcPr>
          <w:p>
            <w:pPr>
              <w:keepNext/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b/>
                <w:color w:val="FFFFFF"/>
                <w:sz w:val="20"/>
                <w:lang w:eastAsia="zh-HK"/>
              </w:rPr>
              <w:t>教訓</w:t>
            </w:r>
          </w:p>
        </w:tc>
      </w:tr>
      <w:tr>
        <w:tc>
          <w:tcPr>
            <w:tcW w:type="dxa" w:w="1928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Archegos（2021）</w:t>
            </w:r>
          </w:p>
        </w:tc>
        <w:tc>
          <w:tcPr>
            <w:tcW w:type="dxa" w:w="4649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家族辦公室用極高槓桿集中持股，股價一跌即被斬倉，損失以百億美元計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槓桿會將小跌變成爆倉</w:t>
            </w:r>
          </w:p>
        </w:tc>
      </w:tr>
      <w:tr>
        <w:tc>
          <w:tcPr>
            <w:tcW w:type="dxa" w:w="1928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LUNA／UST（2022）</w:t>
            </w:r>
          </w:p>
        </w:tc>
        <w:tc>
          <w:tcPr>
            <w:tcW w:type="dxa" w:w="4649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號稱穩定、提供高息嘅算法穩定幣脫鈎，幾日內接近歸零</w:t>
            </w:r>
          </w:p>
        </w:tc>
        <w:tc>
          <w:tcPr>
            <w:tcW w:type="dxa" w:w="2835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「高息＋穩定」通常唔可能同時成立</w:t>
            </w:r>
          </w:p>
        </w:tc>
      </w:tr>
      <w:tr>
        <w:tc>
          <w:tcPr>
            <w:tcW w:type="dxa" w:w="1928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FTX（2022）</w:t>
            </w:r>
          </w:p>
        </w:tc>
        <w:tc>
          <w:tcPr>
            <w:tcW w:type="dxa" w:w="4649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大型交易所挪用客戶資產後倒閉，用戶資金被凍結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資產唔好長期放喺平台；揀受監管平台</w:t>
            </w:r>
          </w:p>
        </w:tc>
      </w:tr>
      <w:tr>
        <w:tc>
          <w:tcPr>
            <w:tcW w:type="dxa" w:w="1928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JPEX（2023）</w:t>
            </w:r>
          </w:p>
        </w:tc>
        <w:tc>
          <w:tcPr>
            <w:tcW w:type="dxa" w:w="4649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證監會點名嘅未持牌平台，大量香港用戶提唔到款</w:t>
            </w:r>
          </w:p>
        </w:tc>
        <w:tc>
          <w:tcPr>
            <w:tcW w:type="dxa" w:w="2835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香港要用證監會持牌平台，唔信高回報推廣</w:t>
            </w:r>
          </w:p>
        </w:tc>
      </w:tr>
    </w:tbl>
    <w:p>
      <w:pPr>
        <w:spacing w:after="0"/>
      </w:pPr>
    </w:p>
    <w:p>
      <w:pPr>
        <w:pStyle w:val="Heading1"/>
      </w:pPr>
      <w:r>
        <w:t>二、現實數字：複利同供款</w:t>
      </w:r>
    </w:p>
    <w:p>
      <w:r>
        <w:rPr>
          <w:rFonts w:ascii="Calibri" w:hAnsi="Calibri" w:cs="Calibri" w:eastAsia="Noto Sans CJK TC"/>
          <w:lang w:eastAsia="zh-HK"/>
        </w:rPr>
        <w:t>同一個 $10,000，用唔同年回報一次過投入，要幾耐先到 $100,000（固定回報數學示範，真實回報每年唔同）：</w:t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701"/>
        <w:gridCol w:w="1530"/>
        <w:gridCol w:w="1530"/>
        <w:gridCol w:w="1530"/>
        <w:gridCol w:w="1530"/>
        <w:gridCol w:w="1587"/>
      </w:tblGrid>
      <w:tr>
        <w:trPr>
          <w:tblHeader/>
          <w:cantSplit/>
        </w:trPr>
        <w:tc>
          <w:tcPr>
            <w:tcW w:type="dxa" w:w="1701"/>
            <w:shd w:val="clear" w:color="auto" w:fill="1F3864"/>
          </w:tcPr>
          <w:p>
            <w:pPr>
              <w:keepNext/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b/>
                <w:color w:val="FFFFFF"/>
                <w:sz w:val="20"/>
                <w:lang w:eastAsia="zh-HK"/>
              </w:rPr>
              <w:t>年回報</w:t>
            </w:r>
          </w:p>
        </w:tc>
        <w:tc>
          <w:tcPr>
            <w:tcW w:type="dxa" w:w="1531"/>
            <w:shd w:val="clear" w:color="auto" w:fill="1F3864"/>
          </w:tcPr>
          <w:p>
            <w:pPr>
              <w:keepNext/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b/>
                <w:color w:val="FFFFFF"/>
                <w:sz w:val="20"/>
                <w:lang w:eastAsia="zh-HK"/>
              </w:rPr>
              <w:t>5%</w:t>
            </w:r>
          </w:p>
        </w:tc>
        <w:tc>
          <w:tcPr>
            <w:tcW w:type="dxa" w:w="1531"/>
            <w:shd w:val="clear" w:color="auto" w:fill="1F3864"/>
          </w:tcPr>
          <w:p>
            <w:pPr>
              <w:keepNext/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b/>
                <w:color w:val="FFFFFF"/>
                <w:sz w:val="20"/>
                <w:lang w:eastAsia="zh-HK"/>
              </w:rPr>
              <w:t>8%</w:t>
            </w:r>
          </w:p>
        </w:tc>
        <w:tc>
          <w:tcPr>
            <w:tcW w:type="dxa" w:w="1531"/>
            <w:shd w:val="clear" w:color="auto" w:fill="1F3864"/>
          </w:tcPr>
          <w:p>
            <w:pPr>
              <w:keepNext/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b/>
                <w:color w:val="FFFFFF"/>
                <w:sz w:val="20"/>
                <w:lang w:eastAsia="zh-HK"/>
              </w:rPr>
              <w:t>10%</w:t>
            </w:r>
          </w:p>
        </w:tc>
        <w:tc>
          <w:tcPr>
            <w:tcW w:type="dxa" w:w="1531"/>
            <w:shd w:val="clear" w:color="auto" w:fill="1F3864"/>
          </w:tcPr>
          <w:p>
            <w:pPr>
              <w:keepNext/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b/>
                <w:color w:val="FFFFFF"/>
                <w:sz w:val="20"/>
                <w:lang w:eastAsia="zh-HK"/>
              </w:rPr>
              <w:t>15%</w:t>
            </w:r>
          </w:p>
        </w:tc>
        <w:tc>
          <w:tcPr>
            <w:tcW w:type="dxa" w:w="1587"/>
            <w:shd w:val="clear" w:color="auto" w:fill="1F3864"/>
          </w:tcPr>
          <w:p>
            <w:pPr>
              <w:keepNext/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b/>
                <w:color w:val="FFFFFF"/>
                <w:sz w:val="20"/>
                <w:lang w:eastAsia="zh-HK"/>
              </w:rPr>
              <w:t>20%</w:t>
            </w:r>
          </w:p>
        </w:tc>
      </w:tr>
      <w:tr>
        <w:tc>
          <w:tcPr>
            <w:tcW w:type="dxa" w:w="1701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所需年數</w:t>
            </w:r>
          </w:p>
        </w:tc>
        <w:tc>
          <w:tcPr>
            <w:tcW w:type="dxa" w:w="1531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約 47.2</w:t>
            </w:r>
          </w:p>
        </w:tc>
        <w:tc>
          <w:tcPr>
            <w:tcW w:type="dxa" w:w="1531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約 29.9</w:t>
            </w:r>
          </w:p>
        </w:tc>
        <w:tc>
          <w:tcPr>
            <w:tcW w:type="dxa" w:w="1531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約 24.2</w:t>
            </w:r>
          </w:p>
        </w:tc>
        <w:tc>
          <w:tcPr>
            <w:tcW w:type="dxa" w:w="1531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約 16.5</w:t>
            </w:r>
          </w:p>
        </w:tc>
        <w:tc>
          <w:tcPr>
            <w:tcW w:type="dxa" w:w="1587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約 12.6</w:t>
            </w:r>
          </w:p>
        </w:tc>
      </w:tr>
    </w:tbl>
    <w:p>
      <w:pPr>
        <w:spacing w:after="0"/>
      </w:pPr>
    </w:p>
    <w:p>
      <w:r>
        <w:rPr>
          <w:rFonts w:ascii="Calibri" w:hAnsi="Calibri" w:cs="Calibri" w:eastAsia="Noto Sans CJK TC"/>
          <w:lang w:eastAsia="zh-HK"/>
        </w:rPr>
        <w:t>加入</w:t>
      </w:r>
      <w:r>
        <w:rPr>
          <w:rFonts w:ascii="Calibri" w:hAnsi="Calibri" w:cs="Calibri" w:eastAsia="Noto Sans CJK TC"/>
          <w:b/>
          <w:lang w:eastAsia="zh-HK"/>
        </w:rPr>
        <w:t>每月固定供款</w:t>
      </w:r>
      <w:r>
        <w:rPr>
          <w:rFonts w:ascii="Calibri" w:hAnsi="Calibri" w:cs="Calibri" w:eastAsia="Noto Sans CJK TC"/>
          <w:lang w:eastAsia="zh-HK"/>
        </w:rPr>
        <w:t xml:space="preserve">之後，情況改善好多。例子：$10,000 起步，每月供 $500，假設年回報 7%（按月複利），10 年後約 </w:t>
      </w:r>
      <w:r>
        <w:rPr>
          <w:rFonts w:ascii="Calibri" w:hAnsi="Calibri" w:cs="Calibri" w:eastAsia="Noto Sans CJK TC"/>
          <w:b/>
          <w:lang w:eastAsia="zh-HK"/>
        </w:rPr>
        <w:t>$106,000</w:t>
      </w:r>
      <w:r>
        <w:rPr>
          <w:rFonts w:ascii="Calibri" w:hAnsi="Calibri" w:cs="Calibri" w:eastAsia="Noto Sans CJK TC"/>
          <w:lang w:eastAsia="zh-HK"/>
        </w:rPr>
        <w:t>，其中自己總投入係 $70,000，複利增長約 $36,000。即係話，10 倍好多時係「長期複利＋持續供款」嘅結果，唔係短期必然。Excel「複利現實」頁有每月 $0／$300／$500／$1,000 供款到 $100,000 所需年數嘅對照表。</w:t>
      </w:r>
    </w:p>
    <w:tbl>
      <w:tblPr>
        <w:tblW w:type="dxa" w:w="941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412"/>
      </w:tblGrid>
      <w:tr>
        <w:trPr>
          <w:cantSplit/>
        </w:trPr>
        <w:tc>
          <w:tcPr>
            <w:tcW w:type="dxa" w:w="9411"/>
            <w:shd w:val="clear" w:color="auto" w:fill="FCE4D6"/>
            <w:tcBorders>
              <w:top w:val="single" w:sz="12" w:color="C00000"/>
              <w:left w:val="single" w:sz="12" w:color="C00000"/>
              <w:bottom w:val="single" w:sz="12" w:color="C00000"/>
              <w:right w:val="single" w:sz="12" w:color="C00000"/>
            </w:tcBorders>
          </w:tcPr>
          <w:p>
            <w:pPr>
              <w:spacing w:after="40"/>
            </w:pPr>
            <w:r/>
            <w:r>
              <w:rPr>
                <w:rFonts w:ascii="Calibri" w:hAnsi="Calibri" w:cs="Calibri" w:eastAsia="Noto Sans CJK TC"/>
                <w:b/>
                <w:color w:val="1F3864"/>
                <w:sz w:val="21"/>
                <w:lang w:eastAsia="zh-HK"/>
              </w:rPr>
              <w:t>蝕錢嘅數學</w:t>
            </w:r>
          </w:p>
          <w:p>
            <w:pPr>
              <w:spacing w:after="20"/>
            </w:pPr>
            <w:r>
              <w:rPr>
                <w:rFonts w:ascii="Calibri" w:hAnsi="Calibri" w:cs="Calibri" w:eastAsia="Noto Sans CJK TC"/>
                <w:sz w:val="20"/>
                <w:lang w:eastAsia="zh-HK"/>
              </w:rPr>
              <w:t>蝕 10% 要升 11% 先返本；蝕 30% 要升 43%；</w:t>
            </w:r>
            <w:r>
              <w:rPr>
                <w:rFonts w:ascii="Calibri" w:hAnsi="Calibri" w:cs="Calibri" w:eastAsia="Noto Sans CJK TC"/>
                <w:b/>
                <w:sz w:val="20"/>
                <w:lang w:eastAsia="zh-HK"/>
              </w:rPr>
              <w:t>蝕 50% 要升 100%</w:t>
            </w:r>
            <w:r>
              <w:rPr>
                <w:rFonts w:ascii="Calibri" w:hAnsi="Calibri" w:cs="Calibri" w:eastAsia="Noto Sans CJK TC"/>
                <w:sz w:val="20"/>
                <w:lang w:eastAsia="zh-HK"/>
              </w:rPr>
              <w:t>；蝕 90% 要升 900%。</w:t>
            </w:r>
          </w:p>
          <w:p>
            <w:pPr>
              <w:spacing w:after="20"/>
            </w:pPr>
            <w:r>
              <w:rPr>
                <w:rFonts w:ascii="Calibri" w:hAnsi="Calibri" w:cs="Calibri" w:eastAsia="Noto Sans CJK TC"/>
                <w:sz w:val="20"/>
                <w:lang w:eastAsia="zh-HK"/>
              </w:rPr>
              <w:t>所以第一目標係「唔好大蝕」，控制回撤比追高回報更重要。</w:t>
            </w:r>
          </w:p>
        </w:tc>
      </w:tr>
    </w:tbl>
    <w:p>
      <w:pPr>
        <w:spacing w:after="0"/>
      </w:pPr>
    </w:p>
    <w:p>
      <w:pPr>
        <w:pStyle w:val="Heading1"/>
      </w:pPr>
      <w:r>
        <w:t>三、資金分配同規則</w:t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701"/>
        <w:gridCol w:w="1474"/>
        <w:gridCol w:w="3402"/>
        <w:gridCol w:w="2835"/>
      </w:tblGrid>
      <w:tr>
        <w:trPr>
          <w:tblHeader/>
          <w:cantSplit/>
        </w:trPr>
        <w:tc>
          <w:tcPr>
            <w:tcW w:type="dxa" w:w="1701"/>
            <w:shd w:val="clear" w:color="auto" w:fill="1F3864"/>
          </w:tcPr>
          <w:p>
            <w:pPr>
              <w:keepNext/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b/>
                <w:color w:val="FFFFFF"/>
                <w:sz w:val="20"/>
                <w:lang w:eastAsia="zh-HK"/>
              </w:rPr>
              <w:t>部分</w:t>
            </w:r>
          </w:p>
        </w:tc>
        <w:tc>
          <w:tcPr>
            <w:tcW w:type="dxa" w:w="1474"/>
            <w:shd w:val="clear" w:color="auto" w:fill="1F3864"/>
          </w:tcPr>
          <w:p>
            <w:pPr>
              <w:keepNext/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b/>
                <w:color w:val="FFFFFF"/>
                <w:sz w:val="20"/>
                <w:lang w:eastAsia="zh-HK"/>
              </w:rPr>
              <w:t>虛擬資金</w:t>
            </w:r>
          </w:p>
        </w:tc>
        <w:tc>
          <w:tcPr>
            <w:tcW w:type="dxa" w:w="3402"/>
            <w:shd w:val="clear" w:color="auto" w:fill="1F3864"/>
          </w:tcPr>
          <w:p>
            <w:pPr>
              <w:keepNext/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b/>
                <w:color w:val="FFFFFF"/>
                <w:sz w:val="20"/>
                <w:lang w:eastAsia="zh-HK"/>
              </w:rPr>
              <w:t>可以練乜</w:t>
            </w:r>
          </w:p>
        </w:tc>
        <w:tc>
          <w:tcPr>
            <w:tcW w:type="dxa" w:w="2835"/>
            <w:shd w:val="clear" w:color="auto" w:fill="1F3864"/>
          </w:tcPr>
          <w:p>
            <w:pPr>
              <w:keepNext/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b/>
                <w:color w:val="FFFFFF"/>
                <w:sz w:val="20"/>
                <w:lang w:eastAsia="zh-HK"/>
              </w:rPr>
              <w:t>唔做乜</w:t>
            </w:r>
          </w:p>
        </w:tc>
      </w:tr>
      <w:tr>
        <w:tc>
          <w:tcPr>
            <w:tcW w:type="dxa" w:w="1701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加密 50%</w:t>
            </w:r>
          </w:p>
        </w:tc>
        <w:tc>
          <w:tcPr>
            <w:tcW w:type="dxa" w:w="1474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US$5,000</w:t>
            </w:r>
          </w:p>
        </w:tc>
        <w:tc>
          <w:tcPr>
            <w:tcW w:type="dxa" w:w="340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BTC、ETH 現貨（做多）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槓桿、合約／期貨、meme 幣、做空</w:t>
            </w:r>
          </w:p>
        </w:tc>
      </w:tr>
      <w:tr>
        <w:tc>
          <w:tcPr>
            <w:tcW w:type="dxa" w:w="1701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美股 ETF 50%</w:t>
            </w:r>
          </w:p>
        </w:tc>
        <w:tc>
          <w:tcPr>
            <w:tcW w:type="dxa" w:w="1474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US$5,000</w:t>
            </w:r>
          </w:p>
        </w:tc>
        <w:tc>
          <w:tcPr>
            <w:tcW w:type="dxa" w:w="3402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低成本寬基指數 ETF（例如追蹤 S&amp;P 500、全美股市、全球股市）</w:t>
            </w:r>
          </w:p>
        </w:tc>
        <w:tc>
          <w:tcPr>
            <w:tcW w:type="dxa" w:w="2835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個股炒賣、槓桿 ETF、期權</w:t>
            </w:r>
          </w:p>
        </w:tc>
      </w:tr>
    </w:tbl>
    <w:p>
      <w:pPr>
        <w:spacing w:after="0"/>
      </w:pPr>
    </w:p>
    <w:p>
      <w:pPr>
        <w:pStyle w:val="Heading2"/>
      </w:pPr>
      <w:r>
        <w:t>九條核心規則</w:t>
      </w:r>
    </w:p>
    <w:p>
      <w:pPr>
        <w:pStyle w:val="ListNumber"/>
      </w:pPr>
      <w:r>
        <w:rPr>
          <w:rFonts w:ascii="Calibri" w:hAnsi="Calibri" w:cs="Calibri" w:eastAsia="Noto Sans CJK TC"/>
          <w:b/>
          <w:lang w:eastAsia="zh-HK"/>
        </w:rPr>
        <w:t>每筆風險 1%</w:t>
      </w:r>
      <w:r>
        <w:rPr>
          <w:rFonts w:ascii="Calibri" w:hAnsi="Calibri" w:cs="Calibri" w:eastAsia="Noto Sans CJK TC"/>
          <w:lang w:eastAsia="zh-HK"/>
        </w:rPr>
        <w:t>：每筆最多蝕帳戶淨值 1%（$10,000 即 $100）。風險＝（入場價－止蝕價）× 數量。</w:t>
      </w:r>
    </w:p>
    <w:p>
      <w:pPr>
        <w:pStyle w:val="ListNumber"/>
      </w:pPr>
      <w:r>
        <w:rPr>
          <w:rFonts w:ascii="Calibri" w:hAnsi="Calibri" w:cs="Calibri" w:eastAsia="Noto Sans CJK TC"/>
          <w:b/>
          <w:lang w:eastAsia="zh-HK"/>
        </w:rPr>
        <w:t>入場前定止蝕</w:t>
      </w:r>
      <w:r>
        <w:rPr>
          <w:rFonts w:ascii="Calibri" w:hAnsi="Calibri" w:cs="Calibri" w:eastAsia="Noto Sans CJK TC"/>
          <w:lang w:eastAsia="zh-HK"/>
        </w:rPr>
        <w:t>：止蝕只可以收窄，唔可以放寬或取消。</w:t>
      </w:r>
    </w:p>
    <w:p>
      <w:pPr>
        <w:pStyle w:val="ListNumber"/>
      </w:pPr>
      <w:r>
        <w:rPr>
          <w:rFonts w:ascii="Calibri" w:hAnsi="Calibri" w:cs="Calibri" w:eastAsia="Noto Sans CJK TC"/>
          <w:b/>
          <w:lang w:eastAsia="zh-HK"/>
        </w:rPr>
        <w:t>單一資產上限</w:t>
      </w:r>
      <w:r>
        <w:rPr>
          <w:rFonts w:ascii="Calibri" w:hAnsi="Calibri" w:cs="Calibri" w:eastAsia="Noto Sans CJK TC"/>
          <w:lang w:eastAsia="zh-HK"/>
        </w:rPr>
        <w:t>：BTC 或 ETH 單一倉位唔超過淨值 20%；單一 ETF 唔超過 25%。</w:t>
      </w:r>
    </w:p>
    <w:p>
      <w:pPr>
        <w:pStyle w:val="ListNumber"/>
      </w:pPr>
      <w:r>
        <w:rPr>
          <w:rFonts w:ascii="Calibri" w:hAnsi="Calibri" w:cs="Calibri" w:eastAsia="Noto Sans CJK TC"/>
          <w:b/>
          <w:lang w:eastAsia="zh-HK"/>
        </w:rPr>
        <w:t>加密總上限</w:t>
      </w:r>
      <w:r>
        <w:rPr>
          <w:rFonts w:ascii="Calibri" w:hAnsi="Calibri" w:cs="Calibri" w:eastAsia="Noto Sans CJK TC"/>
          <w:lang w:eastAsia="zh-HK"/>
        </w:rPr>
        <w:t>：所有加密倉位加埋唔超過淨值 50%。</w:t>
      </w:r>
    </w:p>
    <w:p>
      <w:pPr>
        <w:pStyle w:val="ListNumber"/>
      </w:pPr>
      <w:r>
        <w:rPr>
          <w:rFonts w:ascii="Calibri" w:hAnsi="Calibri" w:cs="Calibri" w:eastAsia="Noto Sans CJK TC"/>
          <w:b/>
          <w:lang w:eastAsia="zh-HK"/>
        </w:rPr>
        <w:t>只做現貨做多</w:t>
      </w:r>
      <w:r>
        <w:rPr>
          <w:rFonts w:ascii="Calibri" w:hAnsi="Calibri" w:cs="Calibri" w:eastAsia="Noto Sans CJK TC"/>
          <w:lang w:eastAsia="zh-HK"/>
        </w:rPr>
        <w:t>：唔用槓桿、唔做空、唔玩衍生工具。</w:t>
      </w:r>
    </w:p>
    <w:p>
      <w:pPr>
        <w:pStyle w:val="ListNumber"/>
      </w:pPr>
      <w:r>
        <w:rPr>
          <w:rFonts w:ascii="Calibri" w:hAnsi="Calibri" w:cs="Calibri" w:eastAsia="Noto Sans CJK TC"/>
          <w:b/>
          <w:lang w:eastAsia="zh-HK"/>
        </w:rPr>
        <w:t>次數限制</w:t>
      </w:r>
      <w:r>
        <w:rPr>
          <w:rFonts w:ascii="Calibri" w:hAnsi="Calibri" w:cs="Calibri" w:eastAsia="Noto Sans CJK TC"/>
          <w:lang w:eastAsia="zh-HK"/>
        </w:rPr>
        <w:t>：每日最多 2 筆新交易，每週最多 5 筆；唔准為咗「追返」而加碼。</w:t>
      </w:r>
    </w:p>
    <w:p>
      <w:pPr>
        <w:pStyle w:val="ListNumber"/>
      </w:pPr>
      <w:r>
        <w:rPr>
          <w:rFonts w:ascii="Calibri" w:hAnsi="Calibri" w:cs="Calibri" w:eastAsia="Noto Sans CJK TC"/>
          <w:b/>
          <w:lang w:eastAsia="zh-HK"/>
        </w:rPr>
        <w:t>回撤暫停</w:t>
      </w:r>
      <w:r>
        <w:rPr>
          <w:rFonts w:ascii="Calibri" w:hAnsi="Calibri" w:cs="Calibri" w:eastAsia="Noto Sans CJK TC"/>
          <w:lang w:eastAsia="zh-HK"/>
        </w:rPr>
        <w:t>：帳戶由高位回落 10%，暫停一週只做檢討。</w:t>
      </w:r>
    </w:p>
    <w:p>
      <w:pPr>
        <w:pStyle w:val="ListNumber"/>
      </w:pPr>
      <w:r>
        <w:rPr>
          <w:rFonts w:ascii="Calibri" w:hAnsi="Calibri" w:cs="Calibri" w:eastAsia="Noto Sans CJK TC"/>
          <w:b/>
          <w:lang w:eastAsia="zh-HK"/>
        </w:rPr>
        <w:t>先寫後做</w:t>
      </w:r>
      <w:r>
        <w:rPr>
          <w:rFonts w:ascii="Calibri" w:hAnsi="Calibri" w:cs="Calibri" w:eastAsia="Noto Sans CJK TC"/>
          <w:lang w:eastAsia="zh-HK"/>
        </w:rPr>
        <w:t>：入場理由、目標、情緒入場前寫；出場後 24 小時內寫教訓。</w:t>
      </w:r>
    </w:p>
    <w:p>
      <w:pPr>
        <w:pStyle w:val="ListNumber"/>
      </w:pPr>
      <w:r>
        <w:rPr>
          <w:rFonts w:ascii="Calibri" w:hAnsi="Calibri" w:cs="Calibri" w:eastAsia="Noto Sans CJK TC"/>
          <w:b/>
          <w:lang w:eastAsia="zh-HK"/>
        </w:rPr>
        <w:t>回報風險比</w:t>
      </w:r>
      <w:r>
        <w:rPr>
          <w:rFonts w:ascii="Calibri" w:hAnsi="Calibri" w:cs="Calibri" w:eastAsia="Noto Sans CJK TC"/>
          <w:lang w:eastAsia="zh-HK"/>
        </w:rPr>
        <w:t>：預期回報最少係風險嘅 2 倍（R:R ≥ 2）先考慮。</w:t>
      </w:r>
    </w:p>
    <w:p>
      <w:pPr>
        <w:pStyle w:val="Heading2"/>
      </w:pPr>
      <w:r>
        <w:t>倉位計算例子</w:t>
      </w:r>
    </w:p>
    <w:p>
      <w:r>
        <w:rPr>
          <w:rFonts w:ascii="Calibri" w:hAnsi="Calibri" w:cs="Calibri" w:eastAsia="Noto Sans CJK TC"/>
          <w:lang w:eastAsia="zh-HK"/>
        </w:rPr>
        <w:t>帳戶淨值 $10,000，想紙上買 BTC，入場 $80,000，止蝕 $76,000：</w:t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268"/>
        <w:gridCol w:w="3969"/>
        <w:gridCol w:w="3175"/>
      </w:tblGrid>
      <w:tr>
        <w:trPr>
          <w:tblHeader/>
          <w:cantSplit/>
        </w:trPr>
        <w:tc>
          <w:tcPr>
            <w:tcW w:type="dxa" w:w="2268"/>
            <w:shd w:val="clear" w:color="auto" w:fill="1F3864"/>
          </w:tcPr>
          <w:p>
            <w:pPr>
              <w:keepNext/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b/>
                <w:color w:val="FFFFFF"/>
                <w:sz w:val="20"/>
                <w:lang w:eastAsia="zh-HK"/>
              </w:rPr>
              <w:t>步驟</w:t>
            </w:r>
          </w:p>
        </w:tc>
        <w:tc>
          <w:tcPr>
            <w:tcW w:type="dxa" w:w="3969"/>
            <w:shd w:val="clear" w:color="auto" w:fill="1F3864"/>
          </w:tcPr>
          <w:p>
            <w:pPr>
              <w:keepNext/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b/>
                <w:color w:val="FFFFFF"/>
                <w:sz w:val="20"/>
                <w:lang w:eastAsia="zh-HK"/>
              </w:rPr>
              <w:t>計算</w:t>
            </w:r>
          </w:p>
        </w:tc>
        <w:tc>
          <w:tcPr>
            <w:tcW w:type="dxa" w:w="3175"/>
            <w:shd w:val="clear" w:color="auto" w:fill="1F3864"/>
          </w:tcPr>
          <w:p>
            <w:pPr>
              <w:keepNext/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b/>
                <w:color w:val="FFFFFF"/>
                <w:sz w:val="20"/>
                <w:lang w:eastAsia="zh-HK"/>
              </w:rPr>
              <w:t>結果</w:t>
            </w:r>
          </w:p>
        </w:tc>
      </w:tr>
      <w:tr>
        <w:tc>
          <w:tcPr>
            <w:tcW w:type="dxa" w:w="2268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每筆風險金額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$10,000 × 1%</w:t>
            </w:r>
          </w:p>
        </w:tc>
        <w:tc>
          <w:tcPr>
            <w:tcW w:type="dxa" w:w="3175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$100</w:t>
            </w:r>
          </w:p>
        </w:tc>
      </w:tr>
      <w:tr>
        <w:tc>
          <w:tcPr>
            <w:tcW w:type="dxa" w:w="2268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每單位風險</w:t>
            </w:r>
          </w:p>
        </w:tc>
        <w:tc>
          <w:tcPr>
            <w:tcW w:type="dxa" w:w="3969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$80,000 − $76,000</w:t>
            </w:r>
          </w:p>
        </w:tc>
        <w:tc>
          <w:tcPr>
            <w:tcW w:type="dxa" w:w="3175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$4,000</w:t>
            </w:r>
          </w:p>
        </w:tc>
      </w:tr>
      <w:tr>
        <w:tc>
          <w:tcPr>
            <w:tcW w:type="dxa" w:w="2268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按風險可買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$100 ÷ $4,000</w:t>
            </w:r>
          </w:p>
        </w:tc>
        <w:tc>
          <w:tcPr>
            <w:tcW w:type="dxa" w:w="3175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0.025 BTC（約 $2,000）</w:t>
            </w:r>
          </w:p>
        </w:tc>
      </w:tr>
      <w:tr>
        <w:tc>
          <w:tcPr>
            <w:tcW w:type="dxa" w:w="2268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按上限可買</w:t>
            </w:r>
          </w:p>
        </w:tc>
        <w:tc>
          <w:tcPr>
            <w:tcW w:type="dxa" w:w="3969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$10,000 × 20% ÷ $80,000</w:t>
            </w:r>
          </w:p>
        </w:tc>
        <w:tc>
          <w:tcPr>
            <w:tcW w:type="dxa" w:w="3175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0.025 BTC</w:t>
            </w:r>
          </w:p>
        </w:tc>
      </w:tr>
      <w:tr>
        <w:tc>
          <w:tcPr>
            <w:tcW w:type="dxa" w:w="2268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最終數量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取兩者較細</w:t>
            </w:r>
          </w:p>
        </w:tc>
        <w:tc>
          <w:tcPr>
            <w:tcW w:type="dxa" w:w="3175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0.025 BTC，佔淨值 20%</w:t>
            </w:r>
          </w:p>
        </w:tc>
      </w:tr>
    </w:tbl>
    <w:p>
      <w:pPr>
        <w:spacing w:after="0"/>
      </w:pPr>
    </w:p>
    <w:p>
      <w:r>
        <w:rPr>
          <w:rFonts w:ascii="Calibri" w:hAnsi="Calibri" w:cs="Calibri" w:eastAsia="Noto Sans CJK TC"/>
          <w:color w:val="595959"/>
          <w:sz w:val="18"/>
          <w:lang w:eastAsia="zh-HK"/>
        </w:rPr>
        <w:t>Excel「倉位規則」頁嘅計算機會自動做晒以上步驟，你只需要填入場價同止蝕價。</w:t>
      </w:r>
    </w:p>
    <w:p>
      <w:pPr>
        <w:pStyle w:val="Heading1"/>
      </w:pPr>
      <w:r>
        <w:t>四、美股 ETF 部分：用「年」嚟諗</w:t>
      </w:r>
    </w:p>
    <w:p>
      <w:pPr>
        <w:pStyle w:val="ListBullet"/>
      </w:pPr>
      <w:r>
        <w:rPr>
          <w:rFonts w:ascii="Calibri" w:hAnsi="Calibri" w:cs="Calibri" w:eastAsia="Noto Sans CJK TC"/>
          <w:b/>
          <w:lang w:eastAsia="zh-HK"/>
        </w:rPr>
        <w:t>時間框架係 5–15 年</w:t>
      </w:r>
      <w:r>
        <w:rPr>
          <w:rFonts w:ascii="Calibri" w:hAnsi="Calibri" w:cs="Calibri" w:eastAsia="Noto Sans CJK TC"/>
          <w:lang w:eastAsia="zh-HK"/>
        </w:rPr>
        <w:t>：ETF 部分唔係短炒，係練習長線核心配置。</w:t>
      </w:r>
    </w:p>
    <w:p>
      <w:pPr>
        <w:pStyle w:val="ListBullet"/>
      </w:pPr>
      <w:r>
        <w:rPr>
          <w:rFonts w:ascii="Calibri" w:hAnsi="Calibri" w:cs="Calibri" w:eastAsia="Noto Sans CJK TC"/>
          <w:b/>
          <w:lang w:eastAsia="zh-HK"/>
        </w:rPr>
        <w:t>核心用低成本寬基 ETF</w:t>
      </w:r>
      <w:r>
        <w:rPr>
          <w:rFonts w:ascii="Calibri" w:hAnsi="Calibri" w:cs="Calibri" w:eastAsia="Noto Sans CJK TC"/>
          <w:lang w:eastAsia="zh-HK"/>
        </w:rPr>
        <w:t>：美股或全球股市指數 ETF 做主力，再按自己風險承受度配一部分債券或現金做緩衝。</w:t>
      </w:r>
    </w:p>
    <w:p>
      <w:pPr>
        <w:pStyle w:val="ListBullet"/>
      </w:pPr>
      <w:r>
        <w:rPr>
          <w:rFonts w:ascii="Calibri" w:hAnsi="Calibri" w:cs="Calibri" w:eastAsia="Noto Sans CJK TC"/>
          <w:b/>
          <w:lang w:eastAsia="zh-HK"/>
        </w:rPr>
        <w:t>定期定額（DCA）同再投資</w:t>
      </w:r>
      <w:r>
        <w:rPr>
          <w:rFonts w:ascii="Calibri" w:hAnsi="Calibri" w:cs="Calibri" w:eastAsia="Noto Sans CJK TC"/>
          <w:lang w:eastAsia="zh-HK"/>
        </w:rPr>
        <w:t>：每月固定金額投入、股息再投資，比一次過全押重要得多。</w:t>
      </w:r>
    </w:p>
    <w:p>
      <w:pPr>
        <w:pStyle w:val="ListBullet"/>
      </w:pPr>
      <w:r>
        <w:rPr>
          <w:rFonts w:ascii="Calibri" w:hAnsi="Calibri" w:cs="Calibri" w:eastAsia="Noto Sans CJK TC"/>
          <w:b/>
          <w:lang w:eastAsia="zh-HK"/>
        </w:rPr>
        <w:t>控制費用同稅</w:t>
      </w:r>
      <w:r>
        <w:rPr>
          <w:rFonts w:ascii="Calibri" w:hAnsi="Calibri" w:cs="Calibri" w:eastAsia="Noto Sans CJK TC"/>
          <w:lang w:eastAsia="zh-HK"/>
        </w:rPr>
        <w:t>：管理費、交易佣金、美股股息預扣稅都會長期蠶食回報，練習時一齊記錄。</w:t>
      </w:r>
    </w:p>
    <w:p>
      <w:pPr>
        <w:pStyle w:val="ListBullet"/>
      </w:pPr>
      <w:r>
        <w:rPr>
          <w:rFonts w:ascii="Calibri" w:hAnsi="Calibri" w:cs="Calibri" w:eastAsia="Noto Sans CJK TC"/>
          <w:b/>
          <w:lang w:eastAsia="zh-HK"/>
        </w:rPr>
        <w:t>唔追情緒</w:t>
      </w:r>
      <w:r>
        <w:rPr>
          <w:rFonts w:ascii="Calibri" w:hAnsi="Calibri" w:cs="Calibri" w:eastAsia="Noto Sans CJK TC"/>
          <w:lang w:eastAsia="zh-HK"/>
        </w:rPr>
        <w:t>：唔因為新聞或熱門股衝動買賣；大跌時跟計劃，唔恐慌賣。</w:t>
      </w:r>
    </w:p>
    <w:p>
      <w:pPr>
        <w:pStyle w:val="ListBullet"/>
      </w:pPr>
      <w:r>
        <w:rPr>
          <w:rFonts w:ascii="Calibri" w:hAnsi="Calibri" w:cs="Calibri" w:eastAsia="Noto Sans CJK TC"/>
          <w:b/>
          <w:lang w:eastAsia="zh-HK"/>
        </w:rPr>
        <w:t>香港要用證監會持牌券商／平台</w:t>
      </w:r>
      <w:r>
        <w:rPr>
          <w:rFonts w:ascii="Calibri" w:hAnsi="Calibri" w:cs="Calibri" w:eastAsia="Noto Sans CJK TC"/>
          <w:lang w:eastAsia="zh-HK"/>
        </w:rPr>
        <w:t>，並了解產品適合性評估同風險披露聲明。</w:t>
      </w:r>
    </w:p>
    <w:p>
      <w:pPr>
        <w:pStyle w:val="ListBullet"/>
      </w:pPr>
      <w:r>
        <w:rPr>
          <w:rFonts w:ascii="Calibri" w:hAnsi="Calibri" w:cs="Calibri" w:eastAsia="Noto Sans CJK TC"/>
          <w:b/>
          <w:lang w:eastAsia="zh-HK"/>
        </w:rPr>
        <w:t>練習平台</w:t>
      </w:r>
      <w:r>
        <w:rPr>
          <w:rFonts w:ascii="Calibri" w:hAnsi="Calibri" w:cs="Calibri" w:eastAsia="Noto Sans CJK TC"/>
          <w:lang w:eastAsia="zh-HK"/>
        </w:rPr>
        <w:t>：IBKR Paper Trading 帳戶、富途牛牛（Futu）／Moomoo 模擬交易，全部用虛擬資金。</w:t>
      </w:r>
    </w:p>
    <w:p>
      <w:pPr>
        <w:pStyle w:val="Heading1"/>
      </w:pPr>
      <w:r>
        <w:t>五、加密部分：學平台、學風險</w:t>
      </w:r>
    </w:p>
    <w:p>
      <w:pPr>
        <w:pStyle w:val="ListBullet"/>
      </w:pPr>
      <w:r>
        <w:rPr>
          <w:rFonts w:ascii="Calibri" w:hAnsi="Calibri" w:cs="Calibri" w:eastAsia="Noto Sans CJK TC"/>
          <w:lang w:eastAsia="zh-HK"/>
        </w:rPr>
        <w:t>只練 BTC、ETH 現貨；圖表用 TradingView，Binance 只作學習介面同數據參考。</w:t>
      </w:r>
    </w:p>
    <w:p>
      <w:pPr>
        <w:pStyle w:val="ListBullet"/>
      </w:pPr>
      <w:r>
        <w:rPr>
          <w:rFonts w:ascii="Calibri" w:hAnsi="Calibri" w:cs="Calibri" w:eastAsia="Noto Sans CJK TC"/>
          <w:lang w:eastAsia="zh-HK"/>
        </w:rPr>
        <w:t>香港證監會持牌虛擬資產交易平台例子：</w:t>
      </w:r>
      <w:r>
        <w:rPr>
          <w:rFonts w:ascii="Calibri" w:hAnsi="Calibri" w:cs="Calibri" w:eastAsia="Noto Sans CJK TC"/>
          <w:b/>
          <w:lang w:eastAsia="zh-HK"/>
        </w:rPr>
        <w:t>HashKey Exchange、OSL</w:t>
      </w:r>
      <w:r>
        <w:rPr>
          <w:rFonts w:ascii="Calibri" w:hAnsi="Calibri" w:cs="Calibri" w:eastAsia="Noto Sans CJK TC"/>
          <w:lang w:eastAsia="zh-HK"/>
        </w:rPr>
        <w:t>。將來如果考慮真錢，應優先了解持牌平台。</w:t>
      </w:r>
    </w:p>
    <w:p>
      <w:pPr>
        <w:pStyle w:val="ListBullet"/>
      </w:pPr>
      <w:r>
        <w:rPr>
          <w:rFonts w:ascii="Calibri" w:hAnsi="Calibri" w:cs="Calibri" w:eastAsia="Noto Sans CJK TC"/>
          <w:lang w:eastAsia="zh-HK"/>
        </w:rPr>
        <w:t>加密波動遠高過寬基 ETF，所以單一資產上限較低（20%），總倉位唔超過 50%。</w:t>
      </w:r>
    </w:p>
    <w:p>
      <w:pPr>
        <w:pStyle w:val="ListBullet"/>
      </w:pPr>
      <w:r>
        <w:rPr>
          <w:rFonts w:ascii="Calibri" w:hAnsi="Calibri" w:cs="Calibri" w:eastAsia="Noto Sans CJK TC"/>
          <w:lang w:eastAsia="zh-HK"/>
        </w:rPr>
        <w:t>帳戶安全：2FA、提款白名單；</w:t>
      </w:r>
      <w:r>
        <w:rPr>
          <w:rFonts w:ascii="Calibri" w:hAnsi="Calibri" w:cs="Calibri" w:eastAsia="Noto Sans CJK TC"/>
          <w:b/>
          <w:lang w:eastAsia="zh-HK"/>
        </w:rPr>
        <w:t>API 永遠唔開提款權限</w:t>
      </w:r>
      <w:r>
        <w:rPr>
          <w:rFonts w:ascii="Calibri" w:hAnsi="Calibri" w:cs="Calibri" w:eastAsia="Noto Sans CJK TC"/>
          <w:lang w:eastAsia="zh-HK"/>
        </w:rPr>
        <w:t>。</w:t>
      </w:r>
    </w:p>
    <w:p>
      <w:pPr>
        <w:pStyle w:val="Heading1"/>
      </w:pPr>
      <w:r>
        <w:t>六、點樣用 Excel 檔案</w:t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701"/>
        <w:gridCol w:w="3969"/>
        <w:gridCol w:w="3742"/>
      </w:tblGrid>
      <w:tr>
        <w:trPr>
          <w:tblHeader/>
          <w:cantSplit/>
        </w:trPr>
        <w:tc>
          <w:tcPr>
            <w:tcW w:type="dxa" w:w="1701"/>
            <w:shd w:val="clear" w:color="auto" w:fill="1F3864"/>
          </w:tcPr>
          <w:p>
            <w:pPr>
              <w:keepNext/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b/>
                <w:color w:val="FFFFFF"/>
                <w:sz w:val="20"/>
                <w:lang w:eastAsia="zh-HK"/>
              </w:rPr>
              <w:t>工作表</w:t>
            </w:r>
          </w:p>
        </w:tc>
        <w:tc>
          <w:tcPr>
            <w:tcW w:type="dxa" w:w="3969"/>
            <w:shd w:val="clear" w:color="auto" w:fill="1F3864"/>
          </w:tcPr>
          <w:p>
            <w:pPr>
              <w:keepNext/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b/>
                <w:color w:val="FFFFFF"/>
                <w:sz w:val="20"/>
                <w:lang w:eastAsia="zh-HK"/>
              </w:rPr>
              <w:t>用途</w:t>
            </w:r>
          </w:p>
        </w:tc>
        <w:tc>
          <w:tcPr>
            <w:tcW w:type="dxa" w:w="3742"/>
            <w:shd w:val="clear" w:color="auto" w:fill="1F3864"/>
          </w:tcPr>
          <w:p>
            <w:pPr>
              <w:keepNext/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b/>
                <w:color w:val="FFFFFF"/>
                <w:sz w:val="20"/>
                <w:lang w:eastAsia="zh-HK"/>
              </w:rPr>
              <w:t>你要做乜</w:t>
            </w:r>
          </w:p>
        </w:tc>
      </w:tr>
      <w:tr>
        <w:tc>
          <w:tcPr>
            <w:tcW w:type="dxa" w:w="1701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說明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用法同免責聲明</w:t>
            </w:r>
          </w:p>
        </w:tc>
        <w:tc>
          <w:tcPr>
            <w:tcW w:type="dxa" w:w="374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先讀一次</w:t>
            </w:r>
          </w:p>
        </w:tc>
      </w:tr>
      <w:tr>
        <w:tc>
          <w:tcPr>
            <w:tcW w:type="dxa" w:w="1701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倉位規則</w:t>
            </w:r>
          </w:p>
        </w:tc>
        <w:tc>
          <w:tcPr>
            <w:tcW w:type="dxa" w:w="3969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基本設定、九條規則、倉位計算機</w:t>
            </w:r>
          </w:p>
        </w:tc>
        <w:tc>
          <w:tcPr>
            <w:tcW w:type="dxa" w:w="3742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每次入場前用計算機計數量</w:t>
            </w:r>
          </w:p>
        </w:tc>
      </w:tr>
      <w:tr>
        <w:tc>
          <w:tcPr>
            <w:tcW w:type="dxa" w:w="1701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交易日誌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記錄每筆紙上交易；盈虧、R 倍數、淨值、回撤自動計</w:t>
            </w:r>
          </w:p>
        </w:tc>
        <w:tc>
          <w:tcPr>
            <w:tcW w:type="dxa" w:w="374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入場前填理由／止蝕／目標／情緒；出場後填出場價同教訓</w:t>
            </w:r>
          </w:p>
        </w:tc>
      </w:tr>
      <w:tr>
        <w:tc>
          <w:tcPr>
            <w:tcW w:type="dxa" w:w="1701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每週檢討</w:t>
            </w:r>
          </w:p>
        </w:tc>
        <w:tc>
          <w:tcPr>
            <w:tcW w:type="dxa" w:w="3969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總體同每週統計：勝率、平均 R、最大回撤、違規次數</w:t>
            </w:r>
          </w:p>
        </w:tc>
        <w:tc>
          <w:tcPr>
            <w:tcW w:type="dxa" w:w="3742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每個星期日寫「學到咩」同「下週改善」</w:t>
            </w:r>
          </w:p>
        </w:tc>
      </w:tr>
      <w:tr>
        <w:tc>
          <w:tcPr>
            <w:tcW w:type="dxa" w:w="1701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12週計劃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逐週學習目標＋真錢前門檻自動檢查</w:t>
            </w:r>
          </w:p>
        </w:tc>
        <w:tc>
          <w:tcPr>
            <w:tcW w:type="dxa" w:w="374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每週完成後揀「已完成」</w:t>
            </w:r>
          </w:p>
        </w:tc>
      </w:tr>
      <w:tr>
        <w:tc>
          <w:tcPr>
            <w:tcW w:type="dxa" w:w="1701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複利現實</w:t>
            </w:r>
          </w:p>
        </w:tc>
        <w:tc>
          <w:tcPr>
            <w:tcW w:type="dxa" w:w="3969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複利表、每月供款年數、10 倍所需回報、返本數學</w:t>
            </w:r>
          </w:p>
        </w:tc>
        <w:tc>
          <w:tcPr>
            <w:tcW w:type="dxa" w:w="3742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有需要時改黃色格試唔同情景</w:t>
            </w:r>
          </w:p>
        </w:tc>
      </w:tr>
    </w:tbl>
    <w:p>
      <w:pPr>
        <w:spacing w:after="0"/>
      </w:pPr>
    </w:p>
    <w:p>
      <w:r>
        <w:rPr>
          <w:rFonts w:ascii="Calibri" w:hAnsi="Calibri" w:cs="Calibri" w:eastAsia="Noto Sans CJK TC"/>
          <w:lang w:eastAsia="zh-HK"/>
        </w:rPr>
        <w:t>顏色規則：</w:t>
      </w:r>
      <w:r>
        <w:rPr>
          <w:rFonts w:ascii="Calibri" w:hAnsi="Calibri" w:cs="Calibri" w:eastAsia="Noto Sans CJK TC"/>
          <w:b/>
          <w:lang w:eastAsia="zh-HK"/>
        </w:rPr>
        <w:t>黃色格</w:t>
      </w:r>
      <w:r>
        <w:rPr>
          <w:rFonts w:ascii="Calibri" w:hAnsi="Calibri" w:cs="Calibri" w:eastAsia="Noto Sans CJK TC"/>
          <w:lang w:eastAsia="zh-HK"/>
        </w:rPr>
        <w:t>自己填；</w:t>
      </w:r>
      <w:r>
        <w:rPr>
          <w:rFonts w:ascii="Calibri" w:hAnsi="Calibri" w:cs="Calibri" w:eastAsia="Noto Sans CJK TC"/>
          <w:b/>
          <w:lang w:eastAsia="zh-HK"/>
        </w:rPr>
        <w:t>綠色格</w:t>
      </w:r>
      <w:r>
        <w:rPr>
          <w:rFonts w:ascii="Calibri" w:hAnsi="Calibri" w:cs="Calibri" w:eastAsia="Noto Sans CJK TC"/>
          <w:lang w:eastAsia="zh-HK"/>
        </w:rPr>
        <w:t>有公式自動計，唔好改；</w:t>
      </w:r>
      <w:r>
        <w:rPr>
          <w:rFonts w:ascii="Calibri" w:hAnsi="Calibri" w:cs="Calibri" w:eastAsia="Noto Sans CJK TC"/>
          <w:b/>
          <w:lang w:eastAsia="zh-HK"/>
        </w:rPr>
        <w:t>灰色行</w:t>
      </w:r>
      <w:r>
        <w:rPr>
          <w:rFonts w:ascii="Calibri" w:hAnsi="Calibri" w:cs="Calibri" w:eastAsia="Noto Sans CJK TC"/>
          <w:lang w:eastAsia="zh-HK"/>
        </w:rPr>
        <w:t>係範例資料，正式開始前成行刪除。</w:t>
      </w:r>
    </w:p>
    <w:p>
      <w:r>
        <w:rPr>
          <w:rFonts w:ascii="Calibri" w:hAnsi="Calibri" w:cs="Calibri" w:eastAsia="Noto Sans CJK TC"/>
          <w:b/>
          <w:lang w:eastAsia="zh-HK"/>
        </w:rPr>
        <w:t>R 倍數</w:t>
      </w:r>
      <w:r>
        <w:rPr>
          <w:rFonts w:ascii="Calibri" w:hAnsi="Calibri" w:cs="Calibri" w:eastAsia="Noto Sans CJK TC"/>
          <w:lang w:eastAsia="zh-HK"/>
        </w:rPr>
        <w:t>＝盈虧 ÷ 初始風險。例如風險 $100，賺 $200 就係 +2R，蝕足止蝕就係 -1R。長期平均 R 大過 0，先代表你套方法有機會行得通。</w:t>
      </w:r>
    </w:p>
    <w:p>
      <w:pPr>
        <w:pStyle w:val="Heading1"/>
      </w:pPr>
      <w:r>
        <w:t>七、12 週計劃</w:t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680"/>
        <w:gridCol w:w="2154"/>
        <w:gridCol w:w="6577"/>
      </w:tblGrid>
      <w:tr>
        <w:trPr>
          <w:tblHeader/>
          <w:cantSplit/>
        </w:trPr>
        <w:tc>
          <w:tcPr>
            <w:tcW w:type="dxa" w:w="680"/>
            <w:shd w:val="clear" w:color="auto" w:fill="1F3864"/>
          </w:tcPr>
          <w:p>
            <w:pPr>
              <w:keepNext/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b/>
                <w:color w:val="FFFFFF"/>
                <w:sz w:val="20"/>
                <w:lang w:eastAsia="zh-HK"/>
              </w:rPr>
              <w:t>週</w:t>
            </w:r>
          </w:p>
        </w:tc>
        <w:tc>
          <w:tcPr>
            <w:tcW w:type="dxa" w:w="2154"/>
            <w:shd w:val="clear" w:color="auto" w:fill="1F3864"/>
          </w:tcPr>
          <w:p>
            <w:pPr>
              <w:keepNext/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b/>
                <w:color w:val="FFFFFF"/>
                <w:sz w:val="20"/>
                <w:lang w:eastAsia="zh-HK"/>
              </w:rPr>
              <w:t>主題</w:t>
            </w:r>
          </w:p>
        </w:tc>
        <w:tc>
          <w:tcPr>
            <w:tcW w:type="dxa" w:w="6576"/>
            <w:shd w:val="clear" w:color="auto" w:fill="1F3864"/>
          </w:tcPr>
          <w:p>
            <w:pPr>
              <w:keepNext/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b/>
                <w:color w:val="FFFFFF"/>
                <w:sz w:val="20"/>
                <w:lang w:eastAsia="zh-HK"/>
              </w:rPr>
              <w:t>重點練習</w:t>
            </w:r>
          </w:p>
        </w:tc>
      </w:tr>
      <w:tr>
        <w:tc>
          <w:tcPr>
            <w:tcW w:type="dxa" w:w="680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1</w:t>
            </w:r>
          </w:p>
        </w:tc>
        <w:tc>
          <w:tcPr>
            <w:tcW w:type="dxa" w:w="2154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開模擬帳戶＋規則</w:t>
            </w:r>
          </w:p>
        </w:tc>
        <w:tc>
          <w:tcPr>
            <w:tcW w:type="dxa" w:w="6576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開 IBKR Paper／Futu 模擬帳戶同 TradingView；用計算機試計 5 次；未落單</w:t>
            </w:r>
          </w:p>
        </w:tc>
      </w:tr>
      <w:tr>
        <w:tc>
          <w:tcPr>
            <w:tcW w:type="dxa" w:w="680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2</w:t>
            </w:r>
          </w:p>
        </w:tc>
        <w:tc>
          <w:tcPr>
            <w:tcW w:type="dxa" w:w="2154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止蝕同倉位</w:t>
            </w:r>
          </w:p>
        </w:tc>
        <w:tc>
          <w:tcPr>
            <w:tcW w:type="dxa" w:w="6576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紙上交易 1–2 筆；比較 2–3 隻寬基 ETF 費用</w:t>
            </w:r>
          </w:p>
        </w:tc>
      </w:tr>
      <w:tr>
        <w:tc>
          <w:tcPr>
            <w:tcW w:type="dxa" w:w="680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3</w:t>
            </w:r>
          </w:p>
        </w:tc>
        <w:tc>
          <w:tcPr>
            <w:tcW w:type="dxa" w:w="2154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趨勢同均線</w:t>
            </w:r>
          </w:p>
        </w:tc>
        <w:tc>
          <w:tcPr>
            <w:tcW w:type="dxa" w:w="6576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MA50／MA200；睇 2000 年代同 2008 年熊市；第一次每週檢討</w:t>
            </w:r>
          </w:p>
        </w:tc>
      </w:tr>
      <w:tr>
        <w:tc>
          <w:tcPr>
            <w:tcW w:type="dxa" w:w="680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4</w:t>
            </w:r>
          </w:p>
        </w:tc>
        <w:tc>
          <w:tcPr>
            <w:tcW w:type="dxa" w:w="2154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情緒同紀律</w:t>
            </w:r>
          </w:p>
        </w:tc>
        <w:tc>
          <w:tcPr>
            <w:tcW w:type="dxa" w:w="6576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記錄 FOMO／恐懼；開始模擬每月定期定額</w:t>
            </w:r>
          </w:p>
        </w:tc>
      </w:tr>
      <w:tr>
        <w:tc>
          <w:tcPr>
            <w:tcW w:type="dxa" w:w="680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5</w:t>
            </w:r>
          </w:p>
        </w:tc>
        <w:tc>
          <w:tcPr>
            <w:tcW w:type="dxa" w:w="2154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風險回報</w:t>
            </w:r>
          </w:p>
        </w:tc>
        <w:tc>
          <w:tcPr>
            <w:tcW w:type="dxa" w:w="6576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只做 R:R ≥ 2；學股票 vs 債券／現金配置</w:t>
            </w:r>
          </w:p>
        </w:tc>
      </w:tr>
      <w:tr>
        <w:tc>
          <w:tcPr>
            <w:tcW w:type="dxa" w:w="680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6</w:t>
            </w:r>
          </w:p>
        </w:tc>
        <w:tc>
          <w:tcPr>
            <w:tcW w:type="dxa" w:w="2154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中期檢討</w:t>
            </w:r>
          </w:p>
        </w:tc>
        <w:tc>
          <w:tcPr>
            <w:tcW w:type="dxa" w:w="6576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寫半頁檢討；計費用同稅影響</w:t>
            </w:r>
          </w:p>
        </w:tc>
      </w:tr>
      <w:tr>
        <w:tc>
          <w:tcPr>
            <w:tcW w:type="dxa" w:w="680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7</w:t>
            </w:r>
          </w:p>
        </w:tc>
        <w:tc>
          <w:tcPr>
            <w:tcW w:type="dxa" w:w="2154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波動同倉位</w:t>
            </w:r>
          </w:p>
        </w:tc>
        <w:tc>
          <w:tcPr>
            <w:tcW w:type="dxa" w:w="6576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比較 BTC／ETH 同 ETF 波幅（ATR 概念）</w:t>
            </w:r>
          </w:p>
        </w:tc>
      </w:tr>
      <w:tr>
        <w:tc>
          <w:tcPr>
            <w:tcW w:type="dxa" w:w="680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8</w:t>
            </w:r>
          </w:p>
        </w:tc>
        <w:tc>
          <w:tcPr>
            <w:tcW w:type="dxa" w:w="2154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平台安全</w:t>
            </w:r>
          </w:p>
        </w:tc>
        <w:tc>
          <w:tcPr>
            <w:tcW w:type="dxa" w:w="6576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持牌平台（HashKey、OSL）、券商牌照、JPEX 教訓</w:t>
            </w:r>
          </w:p>
        </w:tc>
      </w:tr>
      <w:tr>
        <w:tc>
          <w:tcPr>
            <w:tcW w:type="dxa" w:w="680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9</w:t>
            </w:r>
          </w:p>
        </w:tc>
        <w:tc>
          <w:tcPr>
            <w:tcW w:type="dxa" w:w="2154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組合層面</w:t>
            </w:r>
          </w:p>
        </w:tc>
        <w:tc>
          <w:tcPr>
            <w:tcW w:type="dxa" w:w="6576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加密總倉位上限、再平衡模擬</w:t>
            </w:r>
          </w:p>
        </w:tc>
      </w:tr>
      <w:tr>
        <w:tc>
          <w:tcPr>
            <w:tcW w:type="dxa" w:w="680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10</w:t>
            </w:r>
          </w:p>
        </w:tc>
        <w:tc>
          <w:tcPr>
            <w:tcW w:type="dxa" w:w="2154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壓力測試</w:t>
            </w:r>
          </w:p>
        </w:tc>
        <w:tc>
          <w:tcPr>
            <w:tcW w:type="dxa" w:w="6576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假設 BTC 跌 30%、大市跌 40%，你會點做？</w:t>
            </w:r>
          </w:p>
        </w:tc>
      </w:tr>
      <w:tr>
        <w:tc>
          <w:tcPr>
            <w:tcW w:type="dxa" w:w="680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11</w:t>
            </w:r>
          </w:p>
        </w:tc>
        <w:tc>
          <w:tcPr>
            <w:tcW w:type="dxa" w:w="2154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穩定執行</w:t>
            </w:r>
          </w:p>
        </w:tc>
        <w:tc>
          <w:tcPr>
            <w:tcW w:type="dxa" w:w="6576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累計約 30 筆；違規率 &lt;10%</w:t>
            </w:r>
          </w:p>
        </w:tc>
      </w:tr>
      <w:tr>
        <w:tc>
          <w:tcPr>
            <w:tcW w:type="dxa" w:w="680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12</w:t>
            </w:r>
          </w:p>
        </w:tc>
        <w:tc>
          <w:tcPr>
            <w:tcW w:type="dxa" w:w="2154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總檢討同門檻</w:t>
            </w:r>
          </w:p>
        </w:tc>
        <w:tc>
          <w:tcPr>
            <w:tcW w:type="dxa" w:w="6576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寫一頁總結，對照門檻</w:t>
            </w:r>
          </w:p>
        </w:tc>
      </w:tr>
    </w:tbl>
    <w:p>
      <w:pPr>
        <w:spacing w:after="0"/>
      </w:pPr>
    </w:p>
    <w:p>
      <w:pPr>
        <w:pStyle w:val="Heading2"/>
      </w:pPr>
      <w:r>
        <w:t>考慮任何小額真錢之前嘅門檻</w:t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402"/>
        <w:gridCol w:w="6010"/>
      </w:tblGrid>
      <w:tr>
        <w:trPr>
          <w:tblHeader/>
          <w:cantSplit/>
        </w:trPr>
        <w:tc>
          <w:tcPr>
            <w:tcW w:type="dxa" w:w="3402"/>
            <w:shd w:val="clear" w:color="auto" w:fill="1F3864"/>
          </w:tcPr>
          <w:p>
            <w:pPr>
              <w:keepNext/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b/>
                <w:color w:val="FFFFFF"/>
                <w:sz w:val="20"/>
                <w:lang w:eastAsia="zh-HK"/>
              </w:rPr>
              <w:t>門檻</w:t>
            </w:r>
          </w:p>
        </w:tc>
        <w:tc>
          <w:tcPr>
            <w:tcW w:type="dxa" w:w="6009"/>
            <w:shd w:val="clear" w:color="auto" w:fill="1F3864"/>
          </w:tcPr>
          <w:p>
            <w:pPr>
              <w:keepNext/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b/>
                <w:color w:val="FFFFFF"/>
                <w:sz w:val="20"/>
                <w:lang w:eastAsia="zh-HK"/>
              </w:rPr>
              <w:t>要求</w:t>
            </w:r>
          </w:p>
        </w:tc>
      </w:tr>
      <w:tr>
        <w:tc>
          <w:tcPr>
            <w:tcW w:type="dxa" w:w="340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完成週數</w:t>
            </w:r>
          </w:p>
        </w:tc>
        <w:tc>
          <w:tcPr>
            <w:tcW w:type="dxa" w:w="6009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≥ 12 週</w:t>
            </w:r>
          </w:p>
        </w:tc>
      </w:tr>
      <w:tr>
        <w:tc>
          <w:tcPr>
            <w:tcW w:type="dxa" w:w="3402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已平倉紙上交易</w:t>
            </w:r>
          </w:p>
        </w:tc>
        <w:tc>
          <w:tcPr>
            <w:tcW w:type="dxa" w:w="6009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≥ 30 筆</w:t>
            </w:r>
          </w:p>
        </w:tc>
      </w:tr>
      <w:tr>
        <w:tc>
          <w:tcPr>
            <w:tcW w:type="dxa" w:w="340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違規率</w:t>
            </w:r>
          </w:p>
        </w:tc>
        <w:tc>
          <w:tcPr>
            <w:tcW w:type="dxa" w:w="6009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&lt; 10%</w:t>
            </w:r>
          </w:p>
        </w:tc>
      </w:tr>
      <w:tr>
        <w:tc>
          <w:tcPr>
            <w:tcW w:type="dxa" w:w="3402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最大回撤</w:t>
            </w:r>
          </w:p>
        </w:tc>
        <w:tc>
          <w:tcPr>
            <w:tcW w:type="dxa" w:w="6009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細過 10%</w:t>
            </w:r>
          </w:p>
        </w:tc>
      </w:tr>
      <w:tr>
        <w:tc>
          <w:tcPr>
            <w:tcW w:type="dxa" w:w="340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平均 R 倍數</w:t>
            </w:r>
          </w:p>
        </w:tc>
        <w:tc>
          <w:tcPr>
            <w:tcW w:type="dxa" w:w="6009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&gt; 0</w:t>
            </w:r>
          </w:p>
        </w:tc>
      </w:tr>
      <w:tr>
        <w:tc>
          <w:tcPr>
            <w:tcW w:type="dxa" w:w="3402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每週檢討</w:t>
            </w:r>
          </w:p>
        </w:tc>
        <w:tc>
          <w:tcPr>
            <w:tcW w:type="dxa" w:w="6009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12 份都寫咗</w:t>
            </w:r>
          </w:p>
        </w:tc>
      </w:tr>
    </w:tbl>
    <w:p>
      <w:pPr>
        <w:spacing w:after="0"/>
      </w:pPr>
    </w:p>
    <w:p>
      <w:r>
        <w:rPr>
          <w:rFonts w:ascii="Calibri" w:hAnsi="Calibri" w:cs="Calibri" w:eastAsia="Noto Sans CJK TC"/>
          <w:lang w:eastAsia="zh-HK"/>
        </w:rPr>
        <w:t>Excel 會自動顯示「達標／未達標」。</w:t>
      </w:r>
      <w:r>
        <w:rPr>
          <w:rFonts w:ascii="Calibri" w:hAnsi="Calibri" w:cs="Calibri" w:eastAsia="Noto Sans CJK TC"/>
          <w:b/>
          <w:lang w:eastAsia="zh-HK"/>
        </w:rPr>
        <w:t>就算全部達標，都唔代表真錢會賺錢</w:t>
      </w:r>
      <w:r>
        <w:rPr>
          <w:rFonts w:ascii="Calibri" w:hAnsi="Calibri" w:cs="Calibri" w:eastAsia="Noto Sans CJK TC"/>
          <w:lang w:eastAsia="zh-HK"/>
        </w:rPr>
        <w:t>；如果考慮，只用輸得起嘅細額（例如虛擬資金嘅 5–10%），用同一套規則同日誌，表現變差即刻返去紙上練。</w:t>
      </w:r>
    </w:p>
    <w:p>
      <w:pPr>
        <w:pStyle w:val="Heading2"/>
      </w:pPr>
      <w:r>
        <w:t>每日同每週例行流程</w:t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041"/>
        <w:gridCol w:w="5443"/>
        <w:gridCol w:w="1927"/>
      </w:tblGrid>
      <w:tr>
        <w:trPr>
          <w:tblHeader/>
          <w:cantSplit/>
        </w:trPr>
        <w:tc>
          <w:tcPr>
            <w:tcW w:type="dxa" w:w="2041"/>
            <w:shd w:val="clear" w:color="auto" w:fill="1F3864"/>
          </w:tcPr>
          <w:p>
            <w:pPr>
              <w:keepNext/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b/>
                <w:color w:val="FFFFFF"/>
                <w:sz w:val="20"/>
                <w:lang w:eastAsia="zh-HK"/>
              </w:rPr>
              <w:t>時間</w:t>
            </w:r>
          </w:p>
        </w:tc>
        <w:tc>
          <w:tcPr>
            <w:tcW w:type="dxa" w:w="5443"/>
            <w:shd w:val="clear" w:color="auto" w:fill="1F3864"/>
          </w:tcPr>
          <w:p>
            <w:pPr>
              <w:keepNext/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b/>
                <w:color w:val="FFFFFF"/>
                <w:sz w:val="20"/>
                <w:lang w:eastAsia="zh-HK"/>
              </w:rPr>
              <w:t>做乜</w:t>
            </w:r>
          </w:p>
        </w:tc>
        <w:tc>
          <w:tcPr>
            <w:tcW w:type="dxa" w:w="1928"/>
            <w:shd w:val="clear" w:color="auto" w:fill="1F3864"/>
          </w:tcPr>
          <w:p>
            <w:pPr>
              <w:keepNext/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b/>
                <w:color w:val="FFFFFF"/>
                <w:sz w:val="20"/>
                <w:lang w:eastAsia="zh-HK"/>
              </w:rPr>
              <w:t>大約用時</w:t>
            </w:r>
          </w:p>
        </w:tc>
      </w:tr>
      <w:tr>
        <w:tc>
          <w:tcPr>
            <w:tcW w:type="dxa" w:w="2041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每日（交易日）</w:t>
            </w:r>
          </w:p>
        </w:tc>
        <w:tc>
          <w:tcPr>
            <w:tcW w:type="dxa" w:w="5443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睇一次 BTC／ETH 同大市走勢；有計劃先用計算機計數量；入場前填日誌</w:t>
            </w:r>
          </w:p>
        </w:tc>
        <w:tc>
          <w:tcPr>
            <w:tcW w:type="dxa" w:w="1928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15–20 分鐘</w:t>
            </w:r>
          </w:p>
        </w:tc>
      </w:tr>
      <w:tr>
        <w:tc>
          <w:tcPr>
            <w:tcW w:type="dxa" w:w="2041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出場後 24 小時內</w:t>
            </w:r>
          </w:p>
        </w:tc>
        <w:tc>
          <w:tcPr>
            <w:tcW w:type="dxa" w:w="5443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填出場價、教訓；誠實標「有冇違規」</w:t>
            </w:r>
          </w:p>
        </w:tc>
        <w:tc>
          <w:tcPr>
            <w:tcW w:type="dxa" w:w="1928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5 分鐘</w:t>
            </w:r>
          </w:p>
        </w:tc>
      </w:tr>
      <w:tr>
        <w:tc>
          <w:tcPr>
            <w:tcW w:type="dxa" w:w="2041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每週日</w:t>
            </w:r>
          </w:p>
        </w:tc>
        <w:tc>
          <w:tcPr>
            <w:tcW w:type="dxa" w:w="5443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寫「每週檢討」：勝率、平均 R、違規次數、下週改善一樣嘢</w:t>
            </w:r>
          </w:p>
        </w:tc>
        <w:tc>
          <w:tcPr>
            <w:tcW w:type="dxa" w:w="1928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30 分鐘</w:t>
            </w:r>
          </w:p>
        </w:tc>
      </w:tr>
      <w:tr>
        <w:tc>
          <w:tcPr>
            <w:tcW w:type="dxa" w:w="2041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每月第一日</w:t>
            </w:r>
          </w:p>
        </w:tc>
        <w:tc>
          <w:tcPr>
            <w:tcW w:type="dxa" w:w="5443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模擬一次定期定額（ETF 部分）；檢查加密總倉位有冇超過 50%</w:t>
            </w:r>
          </w:p>
        </w:tc>
        <w:tc>
          <w:tcPr>
            <w:tcW w:type="dxa" w:w="1928"/>
            <w:shd w:val="clear" w:color="auto" w:fill="F2F2F2"/>
          </w:tcPr>
          <w:p>
            <w:pPr>
              <w:spacing w:after="0" w:line="240" w:lineRule="auto"/>
            </w:pPr>
            <w:r/>
            <w:r>
              <w:rPr>
                <w:rFonts w:ascii="Calibri" w:hAnsi="Calibri" w:cs="Calibri" w:eastAsia="Noto Sans CJK TC"/>
                <w:sz w:val="20"/>
                <w:lang w:eastAsia="zh-HK"/>
              </w:rPr>
              <w:t>15 分鐘</w:t>
            </w:r>
          </w:p>
        </w:tc>
      </w:tr>
    </w:tbl>
    <w:p>
      <w:pPr>
        <w:spacing w:after="0"/>
      </w:pPr>
    </w:p>
    <w:p>
      <w:pPr>
        <w:pStyle w:val="Heading2"/>
      </w:pPr>
      <w:r>
        <w:t>新手最常見嘅錯誤</w:t>
      </w:r>
    </w:p>
    <w:p>
      <w:pPr>
        <w:pStyle w:val="ListBullet"/>
      </w:pPr>
      <w:r>
        <w:rPr>
          <w:rFonts w:ascii="Calibri" w:hAnsi="Calibri" w:cs="Calibri" w:eastAsia="Noto Sans CJK TC"/>
          <w:b/>
          <w:lang w:eastAsia="zh-HK"/>
        </w:rPr>
        <w:t>冇止蝕或者移走止蝕</w:t>
      </w:r>
      <w:r>
        <w:rPr>
          <w:rFonts w:ascii="Calibri" w:hAnsi="Calibri" w:cs="Calibri" w:eastAsia="Noto Sans CJK TC"/>
          <w:lang w:eastAsia="zh-HK"/>
        </w:rPr>
        <w:t>：「等佢返嚟先」係最常見嘅大蝕原因。</w:t>
      </w:r>
    </w:p>
    <w:p>
      <w:pPr>
        <w:pStyle w:val="ListBullet"/>
      </w:pPr>
      <w:r>
        <w:rPr>
          <w:rFonts w:ascii="Calibri" w:hAnsi="Calibri" w:cs="Calibri" w:eastAsia="Noto Sans CJK TC"/>
          <w:b/>
          <w:lang w:eastAsia="zh-HK"/>
        </w:rPr>
        <w:t>蝕完想即刻追返</w:t>
      </w:r>
      <w:r>
        <w:rPr>
          <w:rFonts w:ascii="Calibri" w:hAnsi="Calibri" w:cs="Calibri" w:eastAsia="Noto Sans CJK TC"/>
          <w:lang w:eastAsia="zh-HK"/>
        </w:rPr>
        <w:t>：連續落單、加大注碼，通常越蝕越多。</w:t>
      </w:r>
    </w:p>
    <w:p>
      <w:pPr>
        <w:pStyle w:val="ListBullet"/>
      </w:pPr>
      <w:r>
        <w:rPr>
          <w:rFonts w:ascii="Calibri" w:hAnsi="Calibri" w:cs="Calibri" w:eastAsia="Noto Sans CJK TC"/>
          <w:b/>
          <w:lang w:eastAsia="zh-HK"/>
        </w:rPr>
        <w:t>倉位太大</w:t>
      </w:r>
      <w:r>
        <w:rPr>
          <w:rFonts w:ascii="Calibri" w:hAnsi="Calibri" w:cs="Calibri" w:eastAsia="Noto Sans CJK TC"/>
          <w:lang w:eastAsia="zh-HK"/>
        </w:rPr>
        <w:t>：一筆交易押咗大半個帳戶，一次失誤就打亂成個計劃。</w:t>
      </w:r>
    </w:p>
    <w:p>
      <w:pPr>
        <w:pStyle w:val="ListBullet"/>
      </w:pPr>
      <w:r>
        <w:rPr>
          <w:rFonts w:ascii="Calibri" w:hAnsi="Calibri" w:cs="Calibri" w:eastAsia="Noto Sans CJK TC"/>
          <w:b/>
          <w:lang w:eastAsia="zh-HK"/>
        </w:rPr>
        <w:t>聽消息、跟喊單</w:t>
      </w:r>
      <w:r>
        <w:rPr>
          <w:rFonts w:ascii="Calibri" w:hAnsi="Calibri" w:cs="Calibri" w:eastAsia="Noto Sans CJK TC"/>
          <w:lang w:eastAsia="zh-HK"/>
        </w:rPr>
        <w:t>：冇自己嘅理由，出事亦唔知點處理。</w:t>
      </w:r>
    </w:p>
    <w:p>
      <w:pPr>
        <w:pStyle w:val="ListBullet"/>
      </w:pPr>
      <w:r>
        <w:rPr>
          <w:rFonts w:ascii="Calibri" w:hAnsi="Calibri" w:cs="Calibri" w:eastAsia="Noto Sans CJK TC"/>
          <w:b/>
          <w:lang w:eastAsia="zh-HK"/>
        </w:rPr>
        <w:t>唔記錄</w:t>
      </w:r>
      <w:r>
        <w:rPr>
          <w:rFonts w:ascii="Calibri" w:hAnsi="Calibri" w:cs="Calibri" w:eastAsia="Noto Sans CJK TC"/>
          <w:lang w:eastAsia="zh-HK"/>
        </w:rPr>
        <w:t>：冇日誌就冇得檢討，同一個錯會不斷重複。</w:t>
      </w:r>
    </w:p>
    <w:p>
      <w:pPr>
        <w:pStyle w:val="ListBullet"/>
      </w:pPr>
      <w:r>
        <w:rPr>
          <w:rFonts w:ascii="Calibri" w:hAnsi="Calibri" w:cs="Calibri" w:eastAsia="Noto Sans CJK TC"/>
          <w:b/>
          <w:lang w:eastAsia="zh-HK"/>
        </w:rPr>
        <w:t>以為紙上賺錢＝真錢會賺</w:t>
      </w:r>
      <w:r>
        <w:rPr>
          <w:rFonts w:ascii="Calibri" w:hAnsi="Calibri" w:cs="Calibri" w:eastAsia="Noto Sans CJK TC"/>
          <w:lang w:eastAsia="zh-HK"/>
        </w:rPr>
        <w:t>：真錢會有情緒同滑價，所以門檻要嚴，起步要細。</w:t>
      </w:r>
    </w:p>
    <w:p>
      <w:pPr>
        <w:pStyle w:val="Heading1"/>
        <w:pageBreakBefore/>
      </w:pPr>
      <w:r>
        <w:t>八、紅線（任何時候都唔做）</w:t>
      </w:r>
    </w:p>
    <w:tbl>
      <w:tblPr>
        <w:tblW w:type="dxa" w:w="941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412"/>
      </w:tblGrid>
      <w:tr>
        <w:trPr>
          <w:cantSplit/>
        </w:trPr>
        <w:tc>
          <w:tcPr>
            <w:tcW w:type="dxa" w:w="9411"/>
            <w:shd w:val="clear" w:color="auto" w:fill="FCE4D6"/>
            <w:tcBorders>
              <w:top w:val="single" w:sz="12" w:color="C00000"/>
              <w:left w:val="single" w:sz="12" w:color="C00000"/>
              <w:bottom w:val="single" w:sz="12" w:color="C00000"/>
              <w:right w:val="single" w:sz="12" w:color="C00000"/>
            </w:tcBorders>
          </w:tcPr>
          <w:p>
            <w:pPr>
              <w:spacing w:after="40"/>
            </w:pPr>
            <w:r/>
            <w:r>
              <w:rPr>
                <w:rFonts w:ascii="Calibri" w:hAnsi="Calibri" w:cs="Calibri" w:eastAsia="Noto Sans CJK TC"/>
                <w:b/>
                <w:color w:val="1F3864"/>
                <w:sz w:val="21"/>
                <w:lang w:eastAsia="zh-HK"/>
              </w:rPr>
              <w:t>紅線</w:t>
            </w:r>
          </w:p>
          <w:p>
            <w:pPr>
              <w:spacing w:after="20"/>
            </w:pPr>
            <w:r>
              <w:rPr>
                <w:rFonts w:ascii="Calibri" w:hAnsi="Calibri" w:cs="Calibri" w:eastAsia="Noto Sans CJK TC"/>
                <w:b/>
                <w:sz w:val="20"/>
                <w:lang w:eastAsia="zh-HK"/>
              </w:rPr>
              <w:t>唔用槓桿</w:t>
            </w:r>
            <w:r>
              <w:rPr>
                <w:rFonts w:ascii="Calibri" w:hAnsi="Calibri" w:cs="Calibri" w:eastAsia="Noto Sans CJK TC"/>
                <w:sz w:val="20"/>
                <w:lang w:eastAsia="zh-HK"/>
              </w:rPr>
              <w:t>：唔玩合約、期貨、期權、槓桿 ETF、孖展。</w:t>
            </w:r>
          </w:p>
          <w:p>
            <w:pPr>
              <w:spacing w:after="20"/>
            </w:pPr>
            <w:r>
              <w:rPr>
                <w:rFonts w:ascii="Calibri" w:hAnsi="Calibri" w:cs="Calibri" w:eastAsia="Noto Sans CJK TC"/>
                <w:b/>
                <w:sz w:val="20"/>
                <w:lang w:eastAsia="zh-HK"/>
              </w:rPr>
              <w:t>API 永遠唔開提款權限</w:t>
            </w:r>
            <w:r>
              <w:rPr>
                <w:rFonts w:ascii="Calibri" w:hAnsi="Calibri" w:cs="Calibri" w:eastAsia="Noto Sans CJK TC"/>
                <w:sz w:val="20"/>
                <w:lang w:eastAsia="zh-HK"/>
              </w:rPr>
              <w:t>；唔將 API key、助記詞、密碼俾任何人。</w:t>
            </w:r>
          </w:p>
          <w:p>
            <w:pPr>
              <w:spacing w:after="20"/>
            </w:pPr>
            <w:r>
              <w:rPr>
                <w:rFonts w:ascii="Calibri" w:hAnsi="Calibri" w:cs="Calibri" w:eastAsia="Noto Sans CJK TC"/>
                <w:b/>
                <w:sz w:val="20"/>
                <w:lang w:eastAsia="zh-HK"/>
              </w:rPr>
              <w:t>唔信保證回報</w:t>
            </w:r>
            <w:r>
              <w:rPr>
                <w:rFonts w:ascii="Calibri" w:hAnsi="Calibri" w:cs="Calibri" w:eastAsia="Noto Sans CJK TC"/>
                <w:sz w:val="20"/>
                <w:lang w:eastAsia="zh-HK"/>
              </w:rPr>
              <w:t>：高息「理財」、穩賺計劃、拉人頭、喊單群組，一律避開。</w:t>
            </w:r>
          </w:p>
          <w:p>
            <w:pPr>
              <w:spacing w:after="20"/>
            </w:pPr>
            <w:r>
              <w:rPr>
                <w:rFonts w:ascii="Calibri" w:hAnsi="Calibri" w:cs="Calibri" w:eastAsia="Noto Sans CJK TC"/>
                <w:b/>
                <w:sz w:val="20"/>
                <w:lang w:eastAsia="zh-HK"/>
              </w:rPr>
              <w:t>唔用未持牌平台</w:t>
            </w:r>
            <w:r>
              <w:rPr>
                <w:rFonts w:ascii="Calibri" w:hAnsi="Calibri" w:cs="Calibri" w:eastAsia="Noto Sans CJK TC"/>
                <w:sz w:val="20"/>
                <w:lang w:eastAsia="zh-HK"/>
              </w:rPr>
              <w:t>：香港應用證監會持牌平台同券商。</w:t>
            </w:r>
          </w:p>
          <w:p>
            <w:pPr>
              <w:spacing w:after="20"/>
            </w:pPr>
            <w:r>
              <w:rPr>
                <w:rFonts w:ascii="Calibri" w:hAnsi="Calibri" w:cs="Calibri" w:eastAsia="Noto Sans CJK TC"/>
                <w:b/>
                <w:sz w:val="20"/>
                <w:lang w:eastAsia="zh-HK"/>
              </w:rPr>
              <w:t>只用輸得起嘅錢</w:t>
            </w:r>
            <w:r>
              <w:rPr>
                <w:rFonts w:ascii="Calibri" w:hAnsi="Calibri" w:cs="Calibri" w:eastAsia="Noto Sans CJK TC"/>
                <w:sz w:val="20"/>
                <w:lang w:eastAsia="zh-HK"/>
              </w:rPr>
              <w:t>：唔借錢、唔用生活費或緊急備用金。</w:t>
            </w:r>
          </w:p>
          <w:p>
            <w:pPr>
              <w:spacing w:after="20"/>
            </w:pPr>
            <w:r>
              <w:rPr>
                <w:rFonts w:ascii="Calibri" w:hAnsi="Calibri" w:cs="Calibri" w:eastAsia="Noto Sans CJK TC"/>
                <w:b/>
                <w:sz w:val="20"/>
                <w:lang w:eastAsia="zh-HK"/>
              </w:rPr>
              <w:t>唔買 meme 幣、唔追消息股</w:t>
            </w:r>
            <w:r>
              <w:rPr>
                <w:rFonts w:ascii="Calibri" w:hAnsi="Calibri" w:cs="Calibri" w:eastAsia="Noto Sans CJK TC"/>
                <w:sz w:val="20"/>
                <w:lang w:eastAsia="zh-HK"/>
              </w:rPr>
              <w:t>。</w:t>
            </w:r>
          </w:p>
        </w:tc>
      </w:tr>
    </w:tbl>
    <w:p>
      <w:pPr>
        <w:spacing w:after="0"/>
      </w:pPr>
    </w:p>
    <w:p>
      <w:pPr>
        <w:pStyle w:val="Heading1"/>
      </w:pPr>
      <w:r>
        <w:t>免責聲明</w:t>
      </w:r>
    </w:p>
    <w:p>
      <w:r>
        <w:rPr>
          <w:rFonts w:ascii="Calibri" w:hAnsi="Calibri" w:cs="Calibri" w:eastAsia="Noto Sans CJK TC"/>
          <w:color w:val="595959"/>
          <w:sz w:val="19"/>
          <w:lang w:eastAsia="zh-HK"/>
        </w:rPr>
        <w:t>本文件同配套 Excel 只供教育用途，並不構成任何投資、財務、法律或稅務建議，亦不保證任何回報。文中歷史數據只作參考，過往表現不代表將來。加密資產同股票價格可以大幅波動，甚至損失全部本金。文中提及嘅平台、券商同 ETF 只作學習例子，並非推薦。作出任何真實投資決定前，應自行研究，並考慮諮詢持牌專業人士。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680" w:right="1134" w:bottom="680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cs="Calibri" w:eastAsia="Noto Sans CJK TC"/>
        <w:color w:val="595959"/>
        <w:sz w:val="16"/>
        <w:lang w:eastAsia="zh-HK"/>
      </w:rPr>
      <w:t xml:space="preserve">只供教育用途，並不構成任何投資建議；不保證回報；只作紙上（模擬）交易。　｜　第 </w:t>
    </w:r>
    <w:r>
      <w:rPr>
        <w:rFonts w:ascii="Calibri" w:hAnsi="Calibri" w:cs="Calibri" w:eastAsia="Noto Sans CJK TC"/>
        <w:color w:val="595959"/>
        <w:sz w:val="16"/>
        <w:lang w:eastAsia="zh-HK"/>
      </w:rPr>
      <w:fldChar w:fldCharType="begin"/>
      <w:instrText xml:space="preserve">PAGE</w:instrText>
      <w:fldChar w:fldCharType="end"/>
    </w:r>
    <w:r>
      <w:rPr>
        <w:rFonts w:ascii="Calibri" w:hAnsi="Calibri" w:cs="Calibri" w:eastAsia="Noto Sans CJK TC"/>
        <w:color w:val="595959"/>
        <w:sz w:val="16"/>
        <w:lang w:eastAsia="zh-HK"/>
      </w:rPr>
      <w:t xml:space="preserve"> 頁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 w:cs="Calibri" w:eastAsia="Noto Sans CJK TC"/>
        <w:color w:val="595959"/>
        <w:sz w:val="16"/>
        <w:lang w:eastAsia="zh-HK"/>
      </w:rPr>
      <w:t>US$10,000 紙上交易學習計劃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TC" w:ascii="Calibri" w:hAnsi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Calibri" w:hAnsi="Calibri" w:cs="Calibri" w:eastAsia="Noto Sans CJK TC"/>
      <w:sz w:val="22"/>
      <w:lang w:eastAsia="zh-HK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60"/>
      <w:outlineLvl w:val="0"/>
    </w:pPr>
    <w:rPr>
      <w:rFonts w:asciiTheme="majorHAnsi" w:eastAsiaTheme="majorEastAsia" w:hAnsiTheme="majorHAnsi" w:cstheme="majorBidi" w:ascii="Calibri" w:hAnsi="Calibri" w:cs="Calibri" w:eastAsia="Noto Sans CJK TC"/>
      <w:b/>
      <w:bCs/>
      <w:color w:val="1F3864"/>
      <w:sz w:val="30"/>
      <w:szCs w:val="28"/>
      <w:lang w:eastAsia="zh-HK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60"/>
      <w:outlineLvl w:val="1"/>
    </w:pPr>
    <w:rPr>
      <w:rFonts w:asciiTheme="majorHAnsi" w:eastAsiaTheme="majorEastAsia" w:hAnsiTheme="majorHAnsi" w:cstheme="majorBidi" w:ascii="Calibri" w:hAnsi="Calibri" w:cs="Calibri" w:eastAsia="Noto Sans CJK TC"/>
      <w:b/>
      <w:bCs/>
      <w:color w:val="C56A00"/>
      <w:sz w:val="24"/>
      <w:szCs w:val="26"/>
      <w:lang w:eastAsia="zh-HK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40" w:after="60"/>
      <w:outlineLvl w:val="2"/>
    </w:pPr>
    <w:rPr>
      <w:rFonts w:asciiTheme="majorHAnsi" w:eastAsiaTheme="majorEastAsia" w:hAnsiTheme="majorHAnsi" w:cstheme="majorBidi" w:ascii="Calibri" w:hAnsi="Calibri" w:cs="Calibri" w:eastAsia="Noto Sans CJK TC"/>
      <w:b/>
      <w:bCs/>
      <w:color w:val="1F3864"/>
      <w:sz w:val="22"/>
      <w:lang w:eastAsia="zh-HK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80"/>
      <w:contextualSpacing/>
    </w:pPr>
    <w:rPr>
      <w:rFonts w:asciiTheme="majorHAnsi" w:eastAsiaTheme="majorEastAsia" w:hAnsiTheme="majorHAnsi" w:cstheme="majorBidi" w:ascii="Calibri" w:hAnsi="Calibri" w:cs="Calibri" w:eastAsia="Noto Sans CJK TC"/>
      <w:b/>
      <w:color w:val="1F3864"/>
      <w:spacing w:val="5"/>
      <w:kern w:val="28"/>
      <w:sz w:val="52"/>
      <w:szCs w:val="52"/>
      <w:lang w:eastAsia="zh-HK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"/>
      <w:contextualSpacing/>
    </w:pPr>
    <w:rPr>
      <w:rFonts w:ascii="Calibri" w:hAnsi="Calibri" w:cs="Calibri" w:eastAsia="Noto Sans CJK TC"/>
      <w:sz w:val="22"/>
      <w:lang w:eastAsia="zh-HK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20"/>
      <w:contextualSpacing/>
    </w:pPr>
    <w:rPr>
      <w:rFonts w:ascii="Calibri" w:hAnsi="Calibri" w:cs="Calibri" w:eastAsia="Noto Sans CJK TC"/>
      <w:sz w:val="22"/>
      <w:lang w:eastAsia="zh-HK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